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察隅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县民政局2021年政府信息公开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/>
          <w:i w:val="0"/>
          <w:caps w:val="0"/>
          <w:color w:val="333333"/>
          <w:spacing w:val="0"/>
          <w:kern w:val="0"/>
          <w:sz w:val="44"/>
          <w:szCs w:val="44"/>
          <w:shd w:val="clear" w:color="auto" w:fill="FFFFFF"/>
          <w:lang w:val="en-US" w:eastAsia="zh-CN" w:bidi="ar"/>
        </w:rPr>
        <w:t>工作年度报告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0" w:lineRule="exact"/>
        <w:ind w:left="0" w:right="0" w:firstLine="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46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根据《中华人民共和国政府信息公开条例》（国务院令第711号，以下简称《条例》）以及《国务院办公厅信息与政务公开办公室关于印发&lt;中华人民共和国政府信息公开年度报告格式&gt;的通知》（国办公开办函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﹝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2021</w:t>
      </w: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﹞</w:t>
      </w:r>
      <w:r>
        <w:rPr>
          <w:rFonts w:hint="eastAsia" w:ascii="宋体" w:hAnsi="宋体" w:cs="宋体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30号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）要求，现公布察隅县民政局2021年政府信息年度工报告。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346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本报告包括总体情况、主动公开政府信息情况、收到和处理政府信息公开申请情况、政府信息公开行政复议和行政诉讼情况、存在的问题及改进情况、其他需要报告的事项等六个部分。除特别说明的外，所列数据统计时限为2021年1月1日至2021年12月31日。报告电子版可在“察隅县人民政府网”下载（www.chayu,gov.cn）。公众如需进一步咨询了解相关信息，请与察隅县民政局联系（地址：察隅县吉公街民政局3楼办公室，邮编：860600，电话：0894-5432155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 w:firstLine="640" w:firstLineChars="20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一、总体情况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2021年，察隅县民政局认真贯彻《条例》《办法》，坚持“公开为常态，不公开为例外”的原则，加大政府信息公开力度，依法保障了公众的知情权、参与权和监督权，全面提升政府信息公开制度化、标准化、信息化建设水平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 w:firstLine="643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（一）主动公开情况。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察隅县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民政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局在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察隅县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政府网站信息公开平台上主动公开组织机构信息、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行政许可信息等。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 w:firstLine="643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依申请公开情况。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2021年我局未收到依申请公开情况。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leftChars="0" w:right="0" w:rightChars="0" w:firstLine="643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政府信息管理情况。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按照要求对属于主动公开范围的政府信息，在该政府信息形成或者变更之日起20个工作日内予以公开。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rightChars="0" w:firstLine="643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（四）政府信息公开平台建设情况。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2021年，我局暂未建设微信公众号等。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（五）监督保障情况。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2021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shd w:val="clear" w:color="auto" w:fill="FFFFFF"/>
        </w:rPr>
        <w:t>年度未出现公布虚假信息、不完整信息、涉密信息以及危及社会安全信息等问题。此外，我局主动接受社会监督，设立了投诉电话和举报信箱，接受社会监督和公众投诉。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Chars="0" w:right="0" w:rightChars="0" w:firstLine="640" w:firstLineChars="200"/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二、主动公开政府信息情况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77"/>
        <w:gridCol w:w="2066"/>
        <w:gridCol w:w="6"/>
        <w:gridCol w:w="1265"/>
        <w:gridCol w:w="21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8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  <w:jc w:val="center"/>
        </w:trPr>
        <w:tc>
          <w:tcPr>
            <w:tcW w:w="3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3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20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3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3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8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3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3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2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8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3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3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  <w:jc w:val="center"/>
        </w:trPr>
        <w:tc>
          <w:tcPr>
            <w:tcW w:w="884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6D9F1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7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07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3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20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33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三、收到和处理政府信息公开申请情况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855"/>
        <w:gridCol w:w="2130"/>
        <w:gridCol w:w="825"/>
        <w:gridCol w:w="765"/>
        <w:gridCol w:w="765"/>
        <w:gridCol w:w="825"/>
        <w:gridCol w:w="990"/>
        <w:gridCol w:w="720"/>
        <w:gridCol w:w="7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92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2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自然人</w:t>
            </w:r>
          </w:p>
        </w:tc>
        <w:tc>
          <w:tcPr>
            <w:tcW w:w="406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法人或其他组织</w:t>
            </w:r>
          </w:p>
        </w:tc>
        <w:tc>
          <w:tcPr>
            <w:tcW w:w="70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2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商业企业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科研机构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社会公益组织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法律服务机构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其他</w:t>
            </w:r>
          </w:p>
        </w:tc>
        <w:tc>
          <w:tcPr>
            <w:tcW w:w="70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三、本年度办理结果</w:t>
            </w: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（一）予以公开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（三）不予公开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1.属于国家秘密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210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4.保护第三方合法权益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6.属于四类过程性信息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（四）无法提供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（五）不予处理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2.重复申请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855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（六）其他处理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29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（七）总计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4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9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320" w:firstLineChars="1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四、政府信息公开行政复议、行政诉讼情况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333333"/>
                <w:kern w:val="0"/>
                <w:szCs w:val="21"/>
                <w:lang w:val="en-US" w:eastAsia="zh-CN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0" w:beforeAutospacing="0" w:after="100" w:afterAutospacing="0" w:line="560" w:lineRule="atLeast"/>
        <w:ind w:right="0" w:rightChars="0" w:firstLine="640" w:firstLineChars="20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五、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存在的主要问题及改进情况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0" w:beforeAutospacing="0" w:after="100" w:afterAutospacing="0" w:line="560" w:lineRule="atLeast"/>
        <w:ind w:right="0" w:rightChars="0" w:firstLine="643" w:firstLineChars="200"/>
        <w:jc w:val="both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（一）存在问题。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根据本单位政府信息公开情况，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kern w:val="2"/>
          <w:sz w:val="32"/>
          <w:szCs w:val="32"/>
          <w:shd w:val="clear" w:color="auto" w:fill="FFFFFF"/>
          <w:lang w:val="en-US" w:eastAsia="zh-CN" w:bidi="ar-SA"/>
        </w:rPr>
        <w:t>存在一些问题有待进一步改进和提高，主要存在问题：主动公开的意识仍需进一步加强，政府公开目录仍需进一步细化加强，信息公开内容需进一步丰富，且专职负责工作人才少。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right="0"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（二）改进措施。一是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健全组织机构领导，落实责任制，把本单位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公开工作纳入单位日常考核和年度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考核</w:t>
      </w:r>
      <w:r>
        <w:rPr>
          <w:rFonts w:hint="eastAsia" w:ascii="方正仿宋_GB2312" w:hAnsi="方正仿宋_GB2312" w:eastAsia="方正仿宋_GB2312" w:cs="方正仿宋_GB2312"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；</w:t>
      </w:r>
      <w:r>
        <w:rPr>
          <w:rFonts w:hint="eastAsia" w:ascii="方正仿宋_GB2312" w:hAnsi="方正仿宋_GB2312" w:eastAsia="方正仿宋_GB2312" w:cs="方正仿宋_GB2312"/>
          <w:b/>
          <w:bCs/>
          <w:i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加强政府公开信息报送，积极参与县政府网站公众参与平台建设。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100" w:beforeAutospacing="0" w:after="100" w:afterAutospacing="0" w:line="560" w:lineRule="atLeast"/>
        <w:ind w:right="0" w:firstLine="640" w:firstLineChars="200"/>
        <w:jc w:val="both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六、其他需要报告的事项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无其他需要报告的事项。</w:t>
      </w:r>
    </w:p>
    <w:p>
      <w:pPr>
        <w:pStyle w:val="2"/>
        <w:rPr>
          <w:rFonts w:hint="eastAsia"/>
        </w:rPr>
      </w:pPr>
    </w:p>
    <w:p>
      <w:pPr>
        <w:jc w:val="both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 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察隅县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民政</w:t>
      </w: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局</w:t>
      </w:r>
    </w:p>
    <w:p>
      <w:pPr>
        <w:jc w:val="both"/>
        <w:rPr>
          <w:rFonts w:hint="default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             2022年1月17日</w:t>
      </w:r>
    </w:p>
    <w:p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9EED5FB"/>
    <w:multiLevelType w:val="singleLevel"/>
    <w:tmpl w:val="D9EED5FB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6B7800"/>
    <w:rsid w:val="186B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2022-01-28T05:03:00Z</dcterms:created>
  <dc:creator>Administrator</dc:creator>
  <cp:lastModifiedBy>Administrator</cp:lastModifiedBy>
  <dcterms:modified xsi:type="dcterms:W3CDTF">2022-01-28T05:04:49Z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4E778A8EADCB43F8BD359C90457CE102</vt:lpwstr>
  </property>
</Properties>
</file>