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察隅县纪检监察委员会2023年度部门预算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仿宋_GB2312" w:hAnsi="仿宋_GB2312" w:eastAsia="仿宋_GB2312" w:cs="仿宋_GB2312"/>
          <w:sz w:val="32"/>
          <w:szCs w:val="32"/>
        </w:rPr>
      </w:pPr>
      <w:r>
        <w:rPr>
          <w:rFonts w:ascii="宋体" w:hAnsi="宋体"/>
          <w:sz w:val="32"/>
          <w:szCs w:val="32"/>
        </w:rPr>
        <w:t xml:space="preserve">  </w:t>
      </w:r>
      <w:r>
        <w:rPr>
          <w:rFonts w:hint="eastAsia" w:ascii="仿宋_GB2312" w:hAnsi="仿宋_GB2312" w:eastAsia="仿宋_GB2312" w:cs="仿宋_GB2312"/>
          <w:sz w:val="32"/>
          <w:szCs w:val="32"/>
        </w:rPr>
        <w:t>2023年 02 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jc w:val="both"/>
        <w:rPr>
          <w:rFonts w:ascii="黑体" w:hAnsi="黑体" w:eastAsia="黑体"/>
          <w:b/>
          <w:snapToGrid w:val="0"/>
          <w:w w:val="95"/>
          <w:sz w:val="44"/>
          <w:szCs w:val="44"/>
        </w:rPr>
      </w:pPr>
    </w:p>
    <w:p>
      <w:pPr>
        <w:jc w:val="both"/>
        <w:rPr>
          <w:rFonts w:ascii="黑体" w:hAnsi="黑体" w:eastAsia="黑体"/>
          <w:b/>
          <w:snapToGrid w:val="0"/>
          <w:w w:val="95"/>
          <w:sz w:val="44"/>
          <w:szCs w:val="44"/>
        </w:rPr>
      </w:pPr>
    </w:p>
    <w:p>
      <w:pPr>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目    录</w:t>
      </w:r>
    </w:p>
    <w:p>
      <w:pPr>
        <w:jc w:val="center"/>
        <w:rPr>
          <w:rFonts w:ascii="黑体" w:hAnsi="黑体" w:eastAsia="黑体"/>
          <w:b/>
          <w:snapToGrid w:val="0"/>
          <w:w w:val="95"/>
          <w:sz w:val="32"/>
          <w:szCs w:val="32"/>
        </w:rPr>
      </w:pP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  察隅县纪检监察委员会概况</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pStyle w:val="9"/>
        <w:spacing w:after="0" w:line="560" w:lineRule="exact"/>
        <w:ind w:firstLine="0" w:firstLineChars="0"/>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察隅县纪检监察委员会2023年度部门预算明细表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一、部门收支总体情况表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二、部门收入总体情况表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三、部门支出总体情况表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四、财政拨款收支总体情况表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五、一般公共预算支出情况表（按功能分类科目）</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六、一般公共预算基本支出情况表（按经济分类款级科目）</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七、一般公共预算“三公”经费支出情况表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八、政府性基金“三公”经费支出情况表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九、政府性基金预算支出情况表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十、政府购买服务预算表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十、项目支出绩效表</w:t>
      </w:r>
    </w:p>
    <w:p>
      <w:pPr>
        <w:spacing w:after="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十一、政府购买服务预算表</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察隅县纪检监察委员会2023年度部门预算数据分析</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spacing w:after="0" w:line="560" w:lineRule="exact"/>
        <w:jc w:val="both"/>
        <w:rPr>
          <w:rFonts w:ascii="黑体" w:hAnsi="黑体" w:eastAsia="黑体" w:cs="黑体"/>
          <w:snapToGrid w:val="0"/>
          <w:w w:val="95"/>
          <w:sz w:val="32"/>
          <w:szCs w:val="32"/>
        </w:rPr>
      </w:pPr>
      <w:r>
        <w:rPr>
          <w:rFonts w:hint="eastAsia" w:ascii="黑体" w:hAnsi="黑体" w:eastAsia="黑体" w:cs="黑体"/>
          <w:snapToGrid w:val="0"/>
          <w:w w:val="95"/>
          <w:sz w:val="32"/>
          <w:szCs w:val="32"/>
        </w:rPr>
        <w:t>附件：</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察隅县纪检监察委员会（部门）2023年度部门预算明细表（含十一张表）</w:t>
      </w:r>
    </w:p>
    <w:p>
      <w:pPr>
        <w:spacing w:line="560" w:lineRule="exact"/>
        <w:jc w:val="center"/>
        <w:rPr>
          <w:rFonts w:ascii="方正小标宋简体" w:hAnsi="方正小标宋简体" w:eastAsia="方正小标宋简体" w:cs="方正小标宋简体"/>
          <w:bCs/>
          <w:snapToGrid w:val="0"/>
          <w:w w:val="95"/>
          <w:sz w:val="44"/>
          <w:szCs w:val="44"/>
        </w:rPr>
        <w:sectPr>
          <w:pgSz w:w="11906" w:h="16838"/>
          <w:pgMar w:top="1440" w:right="1800" w:bottom="1440" w:left="1800" w:header="708" w:footer="708" w:gutter="0"/>
          <w:cols w:space="708" w:num="1"/>
          <w:docGrid w:linePitch="360" w:charSpace="0"/>
        </w:sect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napToGrid w:val="0"/>
          <w:w w:val="95"/>
          <w:sz w:val="44"/>
          <w:szCs w:val="44"/>
        </w:rPr>
        <w:t>第一部分</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察隅县纪委监委概况</w:t>
      </w:r>
      <w:r>
        <w:rPr>
          <w:rFonts w:hint="eastAsia" w:ascii="方正小标宋简体" w:hAnsi="方正小标宋简体" w:eastAsia="方正小标宋简体" w:cs="方正小标宋简体"/>
          <w:bCs/>
          <w:sz w:val="44"/>
          <w:szCs w:val="44"/>
        </w:rPr>
        <w:t xml:space="preserve">  </w:t>
      </w:r>
    </w:p>
    <w:p>
      <w:pPr>
        <w:spacing w:after="0" w:line="560" w:lineRule="exact"/>
        <w:rPr>
          <w:rFonts w:ascii="仿宋_GB2312" w:hAnsi="黑体" w:eastAsia="仿宋_GB2312"/>
          <w:sz w:val="32"/>
          <w:szCs w:val="32"/>
        </w:rPr>
      </w:pPr>
    </w:p>
    <w:p>
      <w:p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一、部门职责</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负责全县党的纪律检查工作。贯彻落实党中央、自治区党委、市委、县委关于纪律检查工作的决定，中央纪委、自治区纪委、林芝市纪委关于纪律检查工作的决策部署，维护党的章程和其他党内法规，检查党的路线方针政策和决议的执行情况，协助县委推进全面从严治党、加强党风廉政建设和组织协调反腐败工作。</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在县委统一领导下，统筹协调全县巡察工作。配合县委巡察工作领导小组指导县委工作机关、县政府工作部门党委（党组）巡察工作。</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负责全县监察工作。贯彻落实党中央关于监察工作的决定，国家监委、自治区党委、自治区监委、林芝市委、林芝市监委和察隅县委关于监察工作的决策部署，维护宪法法律，依法对县委管理的行使公权力的公职人员进行监察，调查职务违法和职务犯罪，开展廉政建设和反腐败工作。</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作出政务处分决定；对履行职责不力、失职失责的领导人员进行问责；对涉嫌职务犯罪的，将调查结果移送人民检察院依法审查、提起公诉；向监察对象所在单位提出监察建议。</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负责组织协调全面从严治党、党风廉政建设和反腐败宣传教育工作。</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负责综合分析全面从严治党、党风廉政建设和反腐败工作，对纪检监察工作重要理论及实践问题进行调查研究；制定或者修改纪检监察制度规定，参与起草制定县一级党和国家机关相关法规和规范性文件。</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加强对反腐败追逃追赃和防逃工作的组织协调，督促有关单位做好相关工作。</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干部管理权限，负责纪检监察系统、巡察机构领导班子建设、干部队伍建设和组织建设的综合规划、政策研究、制度建设和业务指导；会同有关方面做好县纪委监委派驻机构、乡级纪检监察机关、县管企业纪检监察机构领导班子建设有关工作；组织和指导纪检监察和巡察干部教育培训工作等。</w:t>
      </w:r>
    </w:p>
    <w:p>
      <w:pPr>
        <w:numPr>
          <w:ilvl w:val="0"/>
          <w:numId w:val="1"/>
        </w:numPr>
        <w:spacing w:after="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完成林芝市纪委监委和县委交办的其他任务。</w:t>
      </w:r>
    </w:p>
    <w:p>
      <w:p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二、部门机构设置。</w:t>
      </w:r>
    </w:p>
    <w:p>
      <w:pPr>
        <w:spacing w:after="0" w:line="560" w:lineRule="exact"/>
        <w:ind w:firstLine="645"/>
        <w:rPr>
          <w:rFonts w:ascii="仿宋_GB2312" w:hAnsi="黑体" w:eastAsia="仿宋_GB2312"/>
          <w:sz w:val="32"/>
          <w:szCs w:val="32"/>
        </w:rPr>
      </w:pPr>
      <w:r>
        <w:rPr>
          <w:rFonts w:hint="eastAsia" w:ascii="仿宋_GB2312" w:eastAsia="仿宋_GB2312"/>
          <w:sz w:val="32"/>
          <w:szCs w:val="32"/>
        </w:rPr>
        <w:t>部门内</w:t>
      </w:r>
      <w:r>
        <w:rPr>
          <w:rFonts w:ascii="仿宋_GB2312" w:eastAsia="仿宋_GB2312"/>
          <w:sz w:val="32"/>
          <w:szCs w:val="32"/>
        </w:rPr>
        <w:t>设机构</w:t>
      </w:r>
      <w:r>
        <w:rPr>
          <w:rFonts w:hint="eastAsia" w:ascii="仿宋_GB2312" w:eastAsia="仿宋_GB2312"/>
          <w:sz w:val="32"/>
          <w:szCs w:val="32"/>
        </w:rPr>
        <w:t>6个</w:t>
      </w:r>
      <w:r>
        <w:rPr>
          <w:rFonts w:ascii="仿宋_GB2312" w:eastAsia="仿宋_GB2312"/>
          <w:sz w:val="32"/>
          <w:szCs w:val="32"/>
        </w:rPr>
        <w:t>，</w:t>
      </w:r>
      <w:r>
        <w:rPr>
          <w:rFonts w:hint="eastAsia" w:ascii="仿宋_GB2312" w:hAnsi="仿宋_GB2312" w:eastAsia="仿宋_GB2312"/>
          <w:sz w:val="32"/>
          <w:szCs w:val="32"/>
        </w:rPr>
        <w:t>综合室、党风政风监督室、监督检查室、审查调查室、案件审理室、信息中心。</w:t>
      </w:r>
    </w:p>
    <w:p>
      <w:pPr>
        <w:spacing w:line="560" w:lineRule="exact"/>
        <w:jc w:val="both"/>
        <w:rPr>
          <w:rFonts w:ascii="仿宋_GB2312" w:eastAsia="仿宋_GB2312"/>
          <w:sz w:val="32"/>
          <w:szCs w:val="32"/>
        </w:rPr>
      </w:pPr>
    </w:p>
    <w:p>
      <w:pPr>
        <w:numPr>
          <w:ilvl w:val="0"/>
          <w:numId w:val="2"/>
        </w:num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察隅县纪检监察委员会2023年度部门预算明细表（详见附件）</w:t>
      </w:r>
    </w:p>
    <w:p>
      <w:pPr>
        <w:spacing w:line="220" w:lineRule="atLeast"/>
      </w:pPr>
    </w:p>
    <w:p>
      <w:pPr>
        <w:numPr>
          <w:ilvl w:val="0"/>
          <w:numId w:val="3"/>
        </w:num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察隅县纪检监察委员会2023年度部门预算数据分析</w:t>
      </w:r>
    </w:p>
    <w:p>
      <w:pPr>
        <w:spacing w:line="560" w:lineRule="exact"/>
        <w:jc w:val="both"/>
        <w:rPr>
          <w:rFonts w:ascii="黑体" w:hAnsi="黑体" w:eastAsia="黑体"/>
          <w:b/>
          <w:snapToGrid w:val="0"/>
          <w:w w:val="95"/>
          <w:sz w:val="32"/>
          <w:szCs w:val="32"/>
        </w:rPr>
      </w:pP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一、2023年部门收支总表的说明</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2023年收支总预算834.2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等。比2022 年收入数增加129.08万元，主要原因：</w:t>
      </w:r>
      <w:r>
        <w:rPr>
          <w:rFonts w:hint="eastAsia" w:ascii="仿宋_GB2312" w:hAnsi="仿宋_GB2312" w:eastAsia="仿宋_GB2312" w:cs="仿宋_GB2312"/>
          <w:snapToGrid w:val="0"/>
          <w:w w:val="95"/>
          <w:sz w:val="32"/>
          <w:szCs w:val="32"/>
        </w:rPr>
        <w:t>人员工资福利增加，计提比例增加,本年预算项目资金较比往年也有增加，支出相应增加。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二、2023年度部门收入总表的说明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收入预算834.2万元，一般公共预算拨款收入 830.97万元，占总收入的99.61%。比上年资金多89.3万元，主要原因为本年度项目资金较多。上年结转资金3.23万，占总收入的0.39%。</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三、2023年部门支出总表的说明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2023年支出预算834.2万元，其中：基本支出   678.97万元，占81.39%；主要用于人员经费和公用经费。项目支出155.23万元，占18.61%。主要用于乡镇执纪办案专项经费、党风廉政建设反腐败工作经费、执纪办案专项经费等。</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四、2023年财政拨款收支总表的说明</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2023年财政拨款收支总预算834.2万元。收入为一般公共预算拨款，包括一般公共预算当年拨款收入830.97万元；上年结转资金3.23万，支出包括一般公共服务支出830.97万元，上年结转资金3.23万。比2022 年支出数增加129.08万元，主要原因：</w:t>
      </w:r>
      <w:r>
        <w:rPr>
          <w:rFonts w:hint="eastAsia" w:ascii="仿宋_GB2312" w:hAnsi="仿宋_GB2312" w:eastAsia="仿宋_GB2312" w:cs="仿宋_GB2312"/>
          <w:snapToGrid w:val="0"/>
          <w:w w:val="95"/>
          <w:sz w:val="32"/>
          <w:szCs w:val="32"/>
        </w:rPr>
        <w:t>人员工资福利增加，计提比例增加，本年预算项目资金较比往年也有增加，支出相应增加。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五、2023年一般公共预算支出表的说明</w:t>
      </w:r>
    </w:p>
    <w:p>
      <w:pPr>
        <w:spacing w:after="0" w:line="560" w:lineRule="exact"/>
        <w:ind w:firstLine="640" w:firstLineChars="200"/>
        <w:jc w:val="both"/>
        <w:rPr>
          <w:rFonts w:ascii="楷体" w:hAnsi="楷体" w:eastAsia="楷体"/>
          <w:sz w:val="32"/>
          <w:szCs w:val="32"/>
        </w:rPr>
      </w:pPr>
      <w:r>
        <w:rPr>
          <w:rFonts w:hint="eastAsia" w:ascii="楷体_GB2312" w:hAnsi="楷体_GB2312" w:eastAsia="楷体_GB2312" w:cs="楷体_GB2312"/>
          <w:sz w:val="32"/>
          <w:szCs w:val="32"/>
        </w:rPr>
        <w:t>（一）一般公共预算当年拨款规模变化情况。</w:t>
      </w:r>
    </w:p>
    <w:p>
      <w:pPr>
        <w:spacing w:after="0" w:line="560" w:lineRule="exact"/>
        <w:ind w:firstLine="608"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2023年一般公共预算当年拨款834.2万元,比2022 年执行数增加129.08万元，主要原因：人员工资福利增加，计提比例增加,本年预算项目资金较比往年也有增加，支出相应增加。</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after="0" w:line="560" w:lineRule="exact"/>
        <w:ind w:firstLine="608"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一般公共服务支出834.2万元，占100%。一般公共服务支出682.59万元，占100 %；包括基本支出527.36万元，项目支出155.23万元。其中，一般公共服务支出682.59万元，占81.83%；社会保障和就业支出64.72万元，占7.76%；卫生健康支出38.87万元，占5.12%；住房保障支出48.02万元，占6.2%。</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对本部门一般公共预算支出功能分类项级科目增减变化进行说明。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1.一般公共服务支出（类）纪检监察事务（款）行政运行（项）2023年预算数为</w:t>
      </w:r>
      <w:r>
        <w:rPr>
          <w:rFonts w:hint="eastAsia" w:ascii="仿宋_GB2312" w:hAnsi="仿宋_GB2312" w:eastAsia="仿宋_GB2312" w:cs="仿宋_GB2312"/>
          <w:snapToGrid w:val="0"/>
          <w:w w:val="95"/>
          <w:sz w:val="32"/>
          <w:szCs w:val="32"/>
        </w:rPr>
        <w:t>834.2</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192.3万元，增长32.6%，主要是因为人员经费增加。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2.一般公共服务支出（类）纪检监察事务（款）一般行政管理事务（项）2023年预算数为682.59万元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6.24万元，增长13.4%，主要是因为人员经费增加。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3</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社会保障和就业支出（类）行政事业单位养老支出（款）机关事业单位基本养老保险缴费支出（项）2023年预算数为64.03万元。比2022年的执行数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8.2万元，增长11.3%，主要是因为人员经费增加。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4.</w:t>
      </w:r>
      <w:r>
        <w:rPr>
          <w:rFonts w:hint="eastAsia" w:ascii="仿宋_GB2312" w:hAnsi="仿宋_GB2312" w:eastAsia="仿宋_GB2312" w:cs="仿宋_GB2312"/>
          <w:sz w:val="32"/>
          <w:szCs w:val="32"/>
        </w:rPr>
        <w:t>社会保障和就业支出（类）财政对其他社会保险基金的补助（款）财政对工伤保险基金的补助（项）2023年预算数为0.45万元。比2022年的执行数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3.6万元，增长6.8%，主要是因为人员经费增加。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5.</w:t>
      </w:r>
      <w:r>
        <w:rPr>
          <w:rFonts w:hint="eastAsia" w:ascii="仿宋_GB2312" w:hAnsi="仿宋_GB2312" w:eastAsia="仿宋_GB2312" w:cs="仿宋_GB2312"/>
          <w:sz w:val="32"/>
          <w:szCs w:val="32"/>
        </w:rPr>
        <w:t>卫生健康支出（类）行政事业单位医疗（款）公务员医疗补助（项）2023年预算数为8.04万元。比2022年的执行数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0.26万元，增长0.3%，主要是因为人员经费增加。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6.</w:t>
      </w:r>
      <w:r>
        <w:rPr>
          <w:rFonts w:hint="eastAsia" w:ascii="仿宋_GB2312" w:hAnsi="仿宋_GB2312" w:eastAsia="仿宋_GB2312" w:cs="仿宋_GB2312"/>
          <w:sz w:val="32"/>
          <w:szCs w:val="32"/>
        </w:rPr>
        <w:t xml:space="preserve"> 卫生健康支出（类）财政对基本医疗保险基金的补助（款）财政对职工基本医疗保险基金的补助（项）2023年预算数为30.83万元。比2022年的执行数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8.6万元，增长6.1%，主要是因为人员经费增加。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7.</w:t>
      </w:r>
      <w:r>
        <w:rPr>
          <w:rFonts w:hint="eastAsia" w:ascii="仿宋_GB2312" w:hAnsi="仿宋_GB2312" w:eastAsia="仿宋_GB2312" w:cs="仿宋_GB2312"/>
          <w:sz w:val="32"/>
          <w:szCs w:val="32"/>
        </w:rPr>
        <w:t xml:space="preserve"> 住房保障支出（类）住房改革支出（款）住房公积金（项）2023年预算数为48.02万元。比2022年的执行数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8.4万元，增长16%，主要是因为人员经费增加。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六、2023年一般公共预算基本支出表的说明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2023年一般公共预算基本支出678.97万元，其中：</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615.22万元，主要包括工资福利支出（基本工资、津贴补贴、奖金、机关事业单位基本养老保险缴费、职工基本医疗保险缴费、公务员医疗补助缴费、其他社会保障缴费、住房公积金、其他工资福利支出）。</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63.75万元，主要包括商品和服务支出（办公费、印刷费、水费、电费、邮电费、取暖费、差旅费、维修(护)费、会议费、培训费、公务接待费、委托业务费、公务用车运行维护费、其他商品和服务支出）。</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七、2023年度一般公共预算“三公”经费预算情况说明</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2023年“三公”经</w:t>
      </w:r>
      <w:r>
        <w:rPr>
          <w:rFonts w:hint="eastAsia" w:ascii="仿宋_GB2312" w:hAnsi="仿宋_GB2312" w:eastAsia="仿宋_GB2312" w:cs="仿宋_GB2312"/>
          <w:snapToGrid w:val="0"/>
          <w:w w:val="95"/>
          <w:sz w:val="32"/>
          <w:szCs w:val="32"/>
        </w:rPr>
        <w:t>费预算数为11.55万元，和2022年相同。</w:t>
      </w:r>
    </w:p>
    <w:p>
      <w:pPr>
        <w:numPr>
          <w:numId w:val="0"/>
        </w:numPr>
        <w:spacing w:after="0" w:line="560" w:lineRule="exact"/>
        <w:ind w:firstLine="608" w:firstLineChars="200"/>
        <w:jc w:val="both"/>
        <w:rPr>
          <w:rFonts w:ascii="仿宋_GB2312" w:hAnsi="仿宋_GB2312"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1.</w:t>
      </w:r>
      <w:r>
        <w:rPr>
          <w:rFonts w:hint="eastAsia" w:ascii="楷体_GB2312" w:hAnsi="楷体_GB2312" w:eastAsia="楷体_GB2312" w:cs="楷体_GB2312"/>
          <w:snapToGrid w:val="0"/>
          <w:w w:val="95"/>
          <w:sz w:val="32"/>
          <w:szCs w:val="32"/>
        </w:rPr>
        <w:t>因公出国（境）费用。</w:t>
      </w:r>
      <w:r>
        <w:rPr>
          <w:rFonts w:hint="eastAsia" w:ascii="仿宋_GB2312" w:hAnsi="仿宋_GB2312" w:eastAsia="仿宋_GB2312" w:cs="仿宋_GB2312"/>
          <w:w w:val="95"/>
          <w:sz w:val="32"/>
          <w:szCs w:val="32"/>
        </w:rPr>
        <w:t>2023</w:t>
      </w:r>
      <w:r>
        <w:rPr>
          <w:rFonts w:hint="eastAsia" w:ascii="仿宋_GB2312" w:hAnsi="仿宋_GB2312" w:eastAsia="仿宋_GB2312" w:cs="仿宋_GB2312"/>
          <w:snapToGrid w:val="0"/>
          <w:w w:val="95"/>
          <w:sz w:val="32"/>
          <w:szCs w:val="32"/>
        </w:rPr>
        <w:t>年预算数为</w:t>
      </w:r>
      <w:r>
        <w:rPr>
          <w:rFonts w:hint="eastAsia" w:ascii="仿宋_GB2312" w:hAnsi="仿宋_GB2312" w:eastAsia="仿宋_GB2312" w:cs="仿宋_GB2312"/>
          <w:w w:val="95"/>
          <w:sz w:val="32"/>
          <w:szCs w:val="32"/>
        </w:rPr>
        <w:t>0</w:t>
      </w:r>
      <w:r>
        <w:rPr>
          <w:rFonts w:hint="eastAsia" w:ascii="仿宋_GB2312" w:hAnsi="仿宋_GB2312" w:eastAsia="仿宋_GB2312" w:cs="仿宋_GB2312"/>
          <w:snapToGrid w:val="0"/>
          <w:w w:val="95"/>
          <w:sz w:val="32"/>
          <w:szCs w:val="32"/>
        </w:rPr>
        <w:t>万元。为进一步规范因公出国（境）费用管理，我县因公出国（境）费用按照零基预算原则，因此因公出国（境）费用预算为零。</w:t>
      </w:r>
    </w:p>
    <w:p>
      <w:pPr>
        <w:numPr>
          <w:numId w:val="0"/>
        </w:numPr>
        <w:spacing w:after="0" w:line="560" w:lineRule="exact"/>
        <w:ind w:firstLine="608" w:firstLineChars="200"/>
        <w:jc w:val="both"/>
        <w:rPr>
          <w:rFonts w:ascii="仿宋_GB2312" w:hAnsi="仿宋_GB2312"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2.公务用车购置及运行费。</w:t>
      </w:r>
      <w:r>
        <w:rPr>
          <w:rFonts w:hint="eastAsia" w:ascii="仿宋_GB2312" w:hAnsi="仿宋_GB2312" w:eastAsia="仿宋_GB2312" w:cs="仿宋_GB2312"/>
          <w:w w:val="95"/>
          <w:sz w:val="32"/>
          <w:szCs w:val="32"/>
        </w:rPr>
        <w:t>2023</w:t>
      </w:r>
      <w:r>
        <w:rPr>
          <w:rFonts w:hint="eastAsia" w:ascii="仿宋_GB2312" w:hAnsi="仿宋_GB2312" w:eastAsia="仿宋_GB2312" w:cs="仿宋_GB2312"/>
          <w:snapToGrid w:val="0"/>
          <w:w w:val="95"/>
          <w:sz w:val="32"/>
          <w:szCs w:val="32"/>
        </w:rPr>
        <w:t>年有预算数</w:t>
      </w:r>
      <w:r>
        <w:rPr>
          <w:rFonts w:hint="eastAsia" w:ascii="仿宋_GB2312" w:hAnsi="仿宋_GB2312" w:eastAsia="仿宋_GB2312" w:cs="仿宋_GB2312"/>
          <w:sz w:val="32"/>
          <w:szCs w:val="32"/>
        </w:rPr>
        <w:t>0</w:t>
      </w:r>
      <w:r>
        <w:rPr>
          <w:rFonts w:hint="eastAsia" w:ascii="仿宋_GB2312" w:hAnsi="仿宋_GB2312" w:eastAsia="仿宋_GB2312" w:cs="仿宋_GB2312"/>
          <w:snapToGrid w:val="0"/>
          <w:w w:val="95"/>
          <w:sz w:val="32"/>
          <w:szCs w:val="32"/>
        </w:rPr>
        <w:t>万元。其中：</w:t>
      </w:r>
    </w:p>
    <w:p>
      <w:pPr>
        <w:spacing w:after="0" w:line="560" w:lineRule="exact"/>
        <w:ind w:firstLine="608" w:firstLineChars="200"/>
        <w:jc w:val="both"/>
        <w:rPr>
          <w:rFonts w:ascii="仿宋_GB2312" w:hAnsi="仿宋_GB2312" w:eastAsia="仿宋_GB2312" w:cs="仿宋_GB2312"/>
          <w:w w:val="95"/>
          <w:sz w:val="32"/>
          <w:szCs w:val="32"/>
        </w:rPr>
      </w:pP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w w:val="95"/>
          <w:sz w:val="32"/>
          <w:szCs w:val="32"/>
        </w:rPr>
        <w:t>1</w:t>
      </w:r>
      <w:r>
        <w:rPr>
          <w:rFonts w:hint="eastAsia" w:ascii="仿宋_GB2312" w:hAnsi="仿宋_GB2312" w:eastAsia="仿宋_GB2312" w:cs="仿宋_GB2312"/>
          <w:snapToGrid w:val="0"/>
          <w:w w:val="95"/>
          <w:sz w:val="32"/>
          <w:szCs w:val="32"/>
        </w:rPr>
        <w:t>）公务用车购置费。</w:t>
      </w:r>
      <w:r>
        <w:rPr>
          <w:rFonts w:hint="eastAsia" w:ascii="仿宋_GB2312" w:hAnsi="仿宋_GB2312" w:eastAsia="仿宋_GB2312" w:cs="仿宋_GB2312"/>
          <w:w w:val="95"/>
          <w:sz w:val="32"/>
          <w:szCs w:val="32"/>
        </w:rPr>
        <w:t>2023</w:t>
      </w:r>
      <w:r>
        <w:rPr>
          <w:rFonts w:hint="eastAsia" w:ascii="仿宋_GB2312" w:hAnsi="仿宋_GB2312" w:eastAsia="仿宋_GB2312" w:cs="仿宋_GB2312"/>
          <w:snapToGrid w:val="0"/>
          <w:w w:val="95"/>
          <w:sz w:val="32"/>
          <w:szCs w:val="32"/>
        </w:rPr>
        <w:t>年公务用车购置费预算数为</w:t>
      </w:r>
      <w:r>
        <w:rPr>
          <w:rFonts w:hint="eastAsia" w:ascii="仿宋_GB2312" w:hAnsi="仿宋_GB2312" w:eastAsia="仿宋_GB2312" w:cs="仿宋_GB2312"/>
          <w:w w:val="95"/>
          <w:sz w:val="32"/>
          <w:szCs w:val="32"/>
        </w:rPr>
        <w:t>0</w:t>
      </w:r>
      <w:r>
        <w:rPr>
          <w:rFonts w:hint="eastAsia" w:ascii="仿宋_GB2312" w:hAnsi="仿宋_GB2312" w:eastAsia="仿宋_GB2312" w:cs="仿宋_GB2312"/>
          <w:snapToGrid w:val="0"/>
          <w:w w:val="95"/>
          <w:sz w:val="32"/>
          <w:szCs w:val="32"/>
        </w:rPr>
        <w:t>万元（公务用车购置严格按照我县车辆管理及厉行节约有关要求实行总额控制），与</w:t>
      </w:r>
      <w:r>
        <w:rPr>
          <w:rFonts w:hint="eastAsia" w:ascii="仿宋_GB2312" w:hAnsi="仿宋_GB2312" w:eastAsia="仿宋_GB2312" w:cs="仿宋_GB2312"/>
          <w:w w:val="95"/>
          <w:sz w:val="32"/>
          <w:szCs w:val="32"/>
        </w:rPr>
        <w:t>2022</w:t>
      </w:r>
      <w:r>
        <w:rPr>
          <w:rFonts w:hint="eastAsia" w:ascii="仿宋_GB2312" w:hAnsi="仿宋_GB2312" w:eastAsia="仿宋_GB2312" w:cs="仿宋_GB2312"/>
          <w:snapToGrid w:val="0"/>
          <w:w w:val="95"/>
          <w:sz w:val="32"/>
          <w:szCs w:val="32"/>
        </w:rPr>
        <w:t>年预算数持平。</w:t>
      </w:r>
    </w:p>
    <w:p>
      <w:pPr>
        <w:spacing w:after="0" w:line="560" w:lineRule="exact"/>
        <w:ind w:firstLine="608"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w:t>
      </w:r>
      <w:r>
        <w:rPr>
          <w:rFonts w:hint="eastAsia" w:ascii="仿宋_GB2312" w:hAnsi="仿宋_GB2312" w:eastAsia="仿宋_GB2312" w:cs="仿宋_GB2312"/>
          <w:w w:val="95"/>
          <w:sz w:val="32"/>
          <w:szCs w:val="32"/>
        </w:rPr>
        <w:t>2023</w:t>
      </w:r>
      <w:r>
        <w:rPr>
          <w:rFonts w:hint="eastAsia" w:ascii="仿宋_GB2312" w:hAnsi="仿宋_GB2312" w:eastAsia="仿宋_GB2312" w:cs="仿宋_GB2312"/>
          <w:snapToGrid w:val="0"/>
          <w:w w:val="95"/>
          <w:sz w:val="32"/>
          <w:szCs w:val="32"/>
        </w:rPr>
        <w:t>年有预算数</w:t>
      </w:r>
      <w:r>
        <w:rPr>
          <w:rFonts w:hint="eastAsia" w:ascii="仿宋_GB2312" w:hAnsi="仿宋_GB2312" w:eastAsia="仿宋_GB2312" w:cs="仿宋_GB2312"/>
          <w:sz w:val="32"/>
          <w:szCs w:val="32"/>
        </w:rPr>
        <w:t>8.4</w:t>
      </w:r>
      <w:r>
        <w:rPr>
          <w:rFonts w:hint="eastAsia" w:ascii="仿宋_GB2312" w:hAnsi="仿宋_GB2312" w:eastAsia="仿宋_GB2312" w:cs="仿宋_GB2312"/>
          <w:snapToGrid w:val="0"/>
          <w:w w:val="95"/>
          <w:sz w:val="32"/>
          <w:szCs w:val="32"/>
        </w:rPr>
        <w:t>万元。和2022年相同，单位公务用车实有量2辆，保有量2辆。</w:t>
      </w:r>
    </w:p>
    <w:p>
      <w:pPr>
        <w:spacing w:after="0" w:line="560" w:lineRule="exact"/>
        <w:ind w:firstLine="608" w:firstLineChars="200"/>
        <w:rPr>
          <w:rFonts w:ascii="仿宋_GB2312" w:hAnsi="仿宋_GB2312" w:eastAsia="仿宋_GB2312" w:cs="仿宋_GB2312"/>
          <w:sz w:val="32"/>
          <w:szCs w:val="32"/>
        </w:rPr>
      </w:pPr>
      <w:r>
        <w:rPr>
          <w:rFonts w:hint="eastAsia" w:ascii="楷体_GB2312" w:hAnsi="楷体_GB2312" w:eastAsia="楷体_GB2312" w:cs="楷体_GB2312"/>
          <w:snapToGrid w:val="0"/>
          <w:w w:val="95"/>
          <w:sz w:val="32"/>
          <w:szCs w:val="32"/>
        </w:rPr>
        <w:t>3</w:t>
      </w:r>
      <w:r>
        <w:rPr>
          <w:rFonts w:hint="eastAsia" w:ascii="楷体_GB2312" w:hAnsi="楷体_GB2312" w:eastAsia="楷体_GB2312" w:cs="楷体_GB2312"/>
          <w:snapToGrid w:val="0"/>
          <w:w w:val="95"/>
          <w:sz w:val="32"/>
          <w:szCs w:val="32"/>
          <w:lang w:val="en-US" w:eastAsia="zh-CN"/>
        </w:rPr>
        <w:t>.</w:t>
      </w:r>
      <w:r>
        <w:rPr>
          <w:rFonts w:hint="eastAsia" w:ascii="楷体_GB2312" w:hAnsi="楷体_GB2312" w:eastAsia="楷体_GB2312" w:cs="楷体_GB2312"/>
          <w:snapToGrid w:val="0"/>
          <w:w w:val="95"/>
          <w:sz w:val="32"/>
          <w:szCs w:val="32"/>
        </w:rPr>
        <w:t>公务接待费。</w:t>
      </w:r>
      <w:r>
        <w:rPr>
          <w:rFonts w:hint="eastAsia" w:ascii="仿宋_GB2312" w:hAnsi="仿宋_GB2312" w:eastAsia="仿宋_GB2312" w:cs="仿宋_GB2312"/>
          <w:snapToGrid w:val="0"/>
          <w:w w:val="95"/>
          <w:sz w:val="32"/>
          <w:szCs w:val="32"/>
        </w:rPr>
        <w:t>2023年有预算数3.15万元。和2022年相同，我部门按照公务接待相关要求，厉行勤俭节约严格控制不必要的公务接待费支出。</w:t>
      </w:r>
    </w:p>
    <w:p>
      <w:pPr>
        <w:spacing w:after="0" w:line="560" w:lineRule="exact"/>
        <w:ind w:firstLine="608"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八、2023年度政府性基金预算支出情况说明</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2023年政府性基金预算当年拨款0万元,比2022年执行数减少0万元。主要原因是我部门2023年度没有政府性基金安排的支出。</w:t>
      </w:r>
    </w:p>
    <w:p>
      <w:pPr>
        <w:spacing w:after="0" w:line="560" w:lineRule="exact"/>
        <w:ind w:firstLine="608"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九、其他公开事项说明</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pPr>
        <w:autoSpaceDE w:val="0"/>
        <w:autoSpaceDN w:val="0"/>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2023年部门县级妇联1家行政单位的机关运行经费财政拨款预算58.23万元，比2022年预算增加2.4万元，增长20%。</w:t>
      </w:r>
    </w:p>
    <w:p>
      <w:pPr>
        <w:autoSpaceDE w:val="0"/>
        <w:autoSpaceDN w:val="0"/>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2023年本部门及所属各预算单位政府采购预算总额0万元，其中：政府采购货物预算0万元、政府采购工程预算0万元、政府采购服务预算0万元。</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spacing w:after="0" w:line="560" w:lineRule="exact"/>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截至2023年1月底，本部门及所属各预算单位共有车辆2辆，其中，领导干部用车（含在职和离退休部级干部用车）1辆、机要通信用车0辆、应急保障用车0辆、执法执勤用车0辆、特种专业技术用车0辆、其他用车1辆。单位价值50万元以上通用设备0台（套），单位价值100万元以上专用设备0台（套）。2023年一般公共预算安排对确实无法使用的0辆车进行更新购置。</w:t>
      </w:r>
    </w:p>
    <w:p>
      <w:pPr>
        <w:spacing w:after="0" w:line="560" w:lineRule="exact"/>
        <w:ind w:firstLine="640" w:firstLineChars="200"/>
        <w:jc w:val="both"/>
        <w:rPr>
          <w:rFonts w:ascii="楷体_GB2312" w:hAnsi="楷体_GB2312" w:eastAsia="楷体_GB2312" w:cs="楷体_GB2312"/>
          <w:b/>
          <w:sz w:val="32"/>
          <w:szCs w:val="32"/>
        </w:rPr>
      </w:pPr>
      <w:r>
        <w:rPr>
          <w:rFonts w:hint="eastAsia" w:ascii="楷体_GB2312" w:hAnsi="楷体_GB2312" w:eastAsia="楷体_GB2312" w:cs="楷体_GB2312"/>
          <w:sz w:val="32"/>
          <w:szCs w:val="32"/>
        </w:rPr>
        <w:t>（四）2023年预算绩效目标管理情况。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2023年实现财政支出绩效目标管理全覆盖，实行绩效目标管理21个，资金834.2万元，无政府重大决策和决策部署、影响力大且社会关注度高的项目。</w:t>
      </w:r>
    </w:p>
    <w:p>
      <w:pPr>
        <w:numPr>
          <w:ilvl w:val="0"/>
          <w:numId w:val="4"/>
        </w:numPr>
        <w:spacing w:after="0" w:line="56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扶贫资金管理使用情况及绩效目标情况说明。</w:t>
      </w:r>
    </w:p>
    <w:p>
      <w:pPr>
        <w:spacing w:after="0" w:line="560" w:lineRule="exact"/>
        <w:ind w:firstLine="608" w:firstLineChars="200"/>
        <w:jc w:val="both"/>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2023年度无扶贫资金预算安排。</w:t>
      </w:r>
    </w:p>
    <w:p>
      <w:pPr>
        <w:spacing w:after="0" w:line="56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（六）政府债务情况。</w:t>
      </w:r>
    </w:p>
    <w:p>
      <w:pPr>
        <w:spacing w:after="0" w:line="560" w:lineRule="exact"/>
        <w:ind w:firstLine="608" w:firstLineChars="200"/>
        <w:jc w:val="both"/>
        <w:rPr>
          <w:rFonts w:ascii="黑体" w:hAnsi="黑体" w:eastAsia="黑体"/>
          <w:b/>
          <w:snapToGrid w:val="0"/>
          <w:w w:val="95"/>
          <w:sz w:val="44"/>
          <w:szCs w:val="44"/>
        </w:rPr>
      </w:pPr>
      <w:r>
        <w:rPr>
          <w:rFonts w:hint="eastAsia" w:ascii="仿宋_GB2312" w:hAnsi="黑体" w:eastAsia="仿宋_GB2312"/>
          <w:bCs/>
          <w:snapToGrid w:val="0"/>
          <w:w w:val="95"/>
          <w:sz w:val="32"/>
          <w:szCs w:val="32"/>
        </w:rPr>
        <w:t>本单位无举借债务情况。</w:t>
      </w:r>
    </w:p>
    <w:p>
      <w:pPr>
        <w:spacing w:line="560" w:lineRule="exact"/>
        <w:rPr>
          <w:rFonts w:ascii="黑体" w:hAnsi="黑体" w:eastAsia="黑体"/>
          <w:b/>
          <w:snapToGrid w:val="0"/>
          <w:w w:val="95"/>
          <w:sz w:val="44"/>
          <w:szCs w:val="44"/>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第四部分</w:t>
      </w:r>
      <w:r>
        <w:rPr>
          <w:rFonts w:hint="eastAsia" w:ascii="方正小标宋简体" w:hAnsi="方正小标宋简体" w:eastAsia="方正小标宋简体" w:cs="方正小标宋简体"/>
          <w:bCs/>
          <w:snapToGrid w:val="0"/>
          <w:w w:val="95"/>
          <w:sz w:val="44"/>
          <w:szCs w:val="44"/>
          <w:lang w:val="en-US" w:eastAsia="zh-CN"/>
        </w:rPr>
        <w:t xml:space="preserve">  </w:t>
      </w:r>
      <w:bookmarkStart w:id="0" w:name="_GoBack"/>
      <w:bookmarkEnd w:id="0"/>
      <w:r>
        <w:rPr>
          <w:rFonts w:hint="eastAsia" w:ascii="方正小标宋简体" w:hAnsi="方正小标宋简体" w:eastAsia="方正小标宋简体" w:cs="方正小标宋简体"/>
          <w:bCs/>
          <w:snapToGrid w:val="0"/>
          <w:w w:val="95"/>
          <w:sz w:val="44"/>
          <w:szCs w:val="44"/>
        </w:rPr>
        <w:t>名词解释</w:t>
      </w:r>
    </w:p>
    <w:p>
      <w:pPr>
        <w:spacing w:after="0" w:line="560" w:lineRule="exact"/>
        <w:jc w:val="center"/>
        <w:rPr>
          <w:rFonts w:ascii="黑体" w:hAnsi="黑体" w:eastAsia="黑体"/>
          <w:bCs/>
          <w:snapToGrid w:val="0"/>
          <w:w w:val="95"/>
          <w:sz w:val="32"/>
          <w:szCs w:val="32"/>
        </w:rPr>
      </w:pP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指本级财政当年拨付的资金。</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二、其他收入：</w:t>
      </w:r>
      <w:r>
        <w:rPr>
          <w:rFonts w:hint="eastAsia" w:ascii="仿宋_GB2312" w:hAnsi="仿宋_GB2312" w:eastAsia="仿宋_GB2312" w:cs="仿宋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三、上年结转：</w:t>
      </w:r>
      <w:r>
        <w:rPr>
          <w:rFonts w:hint="eastAsia" w:ascii="仿宋_GB2312" w:hAnsi="仿宋_GB2312" w:eastAsia="仿宋_GB2312" w:cs="仿宋_GB2312"/>
          <w:sz w:val="32"/>
          <w:szCs w:val="32"/>
        </w:rPr>
        <w:t>指以前年度安排、结转到本年仍按原规定用途继续使用的资金。</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四、一般公共服务支出：</w:t>
      </w:r>
      <w:r>
        <w:rPr>
          <w:rFonts w:hint="eastAsia" w:ascii="仿宋_GB2312" w:hAnsi="仿宋_GB2312" w:eastAsia="仿宋_GB2312" w:cs="仿宋_GB2312"/>
          <w:sz w:val="32"/>
          <w:szCs w:val="32"/>
        </w:rPr>
        <w:t>反应政府提供一般公共服务的支出。</w:t>
      </w:r>
    </w:p>
    <w:p>
      <w:pPr>
        <w:autoSpaceDE w:val="0"/>
        <w:autoSpaceDN w:val="0"/>
        <w:spacing w:after="0" w:line="560" w:lineRule="exact"/>
        <w:ind w:firstLine="640" w:firstLineChars="200"/>
        <w:jc w:val="both"/>
        <w:rPr>
          <w:rFonts w:ascii="仿宋_GB2312" w:eastAsia="仿宋_GB2312" w:cs="仿宋_GB2312" w:hAnsiTheme="minorHAnsi"/>
          <w:sz w:val="32"/>
          <w:szCs w:val="32"/>
        </w:rPr>
      </w:pPr>
      <w:r>
        <w:rPr>
          <w:rFonts w:hint="eastAsia" w:ascii="黑体" w:hAnsi="黑体" w:eastAsia="黑体"/>
          <w:sz w:val="32"/>
          <w:szCs w:val="32"/>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仿宋" w:hAnsi="仿宋" w:eastAsia="仿宋"/>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七、住房保障支出：</w:t>
      </w:r>
      <w:r>
        <w:rPr>
          <w:rFonts w:hint="eastAsia" w:ascii="仿宋_GB2312" w:hAnsi="仿宋_GB2312" w:eastAsia="仿宋_GB2312" w:cs="仿宋_GB2312"/>
          <w:sz w:val="32"/>
          <w:szCs w:val="32"/>
        </w:rPr>
        <w:t>集中反映政府用于住房方面的支出。</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仿宋_GB2312" w:hAnsi="宋体" w:eastAsia="仿宋_GB2312"/>
          <w:sz w:val="32"/>
          <w:szCs w:val="32"/>
        </w:rPr>
      </w:pPr>
      <w:r>
        <w:rPr>
          <w:rFonts w:hint="eastAsia" w:ascii="黑体" w:hAnsi="黑体" w:eastAsia="黑体" w:cs="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重点项目：</w:t>
      </w:r>
      <w:r>
        <w:rPr>
          <w:rFonts w:hint="eastAsia" w:ascii="仿宋_GB2312" w:hAnsi="仿宋_GB2312" w:eastAsia="仿宋_GB2312" w:cs="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rPr>
          <w:sz w:val="84"/>
          <w:szCs w:val="84"/>
        </w:rPr>
      </w:pPr>
    </w:p>
    <w:sectPr>
      <w:footerReference r:id="rId3"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- 6 -</w:t>
                </w:r>
                <w:r>
                  <w:rPr>
                    <w:rFonts w:hint="eastAsia" w:ascii="仿宋" w:hAnsi="仿宋" w:eastAsia="仿宋" w:cs="仿宋"/>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9E625"/>
    <w:multiLevelType w:val="singleLevel"/>
    <w:tmpl w:val="A7A9E625"/>
    <w:lvl w:ilvl="0" w:tentative="0">
      <w:start w:val="3"/>
      <w:numFmt w:val="chineseCounting"/>
      <w:suff w:val="space"/>
      <w:lvlText w:val="第%1部分"/>
      <w:lvlJc w:val="left"/>
      <w:rPr>
        <w:rFonts w:hint="eastAsia"/>
      </w:rPr>
    </w:lvl>
  </w:abstractNum>
  <w:abstractNum w:abstractNumId="1">
    <w:nsid w:val="0781CE71"/>
    <w:multiLevelType w:val="singleLevel"/>
    <w:tmpl w:val="0781CE71"/>
    <w:lvl w:ilvl="0" w:tentative="0">
      <w:start w:val="2"/>
      <w:numFmt w:val="chineseCounting"/>
      <w:suff w:val="space"/>
      <w:lvlText w:val="第%1部分"/>
      <w:lvlJc w:val="left"/>
      <w:rPr>
        <w:rFonts w:hint="eastAsia"/>
      </w:rPr>
    </w:lvl>
  </w:abstractNum>
  <w:abstractNum w:abstractNumId="2">
    <w:nsid w:val="22B1E231"/>
    <w:multiLevelType w:val="singleLevel"/>
    <w:tmpl w:val="22B1E231"/>
    <w:lvl w:ilvl="0" w:tentative="0">
      <w:start w:val="5"/>
      <w:numFmt w:val="chineseCounting"/>
      <w:suff w:val="nothing"/>
      <w:lvlText w:val="（%1）"/>
      <w:lvlJc w:val="left"/>
      <w:rPr>
        <w:rFonts w:hint="eastAsia"/>
      </w:rPr>
    </w:lvl>
  </w:abstractNum>
  <w:abstractNum w:abstractNumId="3">
    <w:nsid w:val="57353286"/>
    <w:multiLevelType w:val="singleLevel"/>
    <w:tmpl w:val="57353286"/>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068A0"/>
    <w:rsid w:val="00010FDF"/>
    <w:rsid w:val="000131C8"/>
    <w:rsid w:val="000205B6"/>
    <w:rsid w:val="00043B76"/>
    <w:rsid w:val="0005543D"/>
    <w:rsid w:val="00065AC2"/>
    <w:rsid w:val="00094F3E"/>
    <w:rsid w:val="00096AAE"/>
    <w:rsid w:val="000B08E5"/>
    <w:rsid w:val="000C4FC1"/>
    <w:rsid w:val="000E24EC"/>
    <w:rsid w:val="000F697D"/>
    <w:rsid w:val="00103C3D"/>
    <w:rsid w:val="00121B3A"/>
    <w:rsid w:val="001255F4"/>
    <w:rsid w:val="00132E01"/>
    <w:rsid w:val="00135D9C"/>
    <w:rsid w:val="001468A9"/>
    <w:rsid w:val="00170AE9"/>
    <w:rsid w:val="001834FB"/>
    <w:rsid w:val="0019029C"/>
    <w:rsid w:val="00193CE6"/>
    <w:rsid w:val="00194943"/>
    <w:rsid w:val="001A70AC"/>
    <w:rsid w:val="001A75E6"/>
    <w:rsid w:val="001B3308"/>
    <w:rsid w:val="001B7DD1"/>
    <w:rsid w:val="001D2123"/>
    <w:rsid w:val="001D3C35"/>
    <w:rsid w:val="001E1206"/>
    <w:rsid w:val="001E5C57"/>
    <w:rsid w:val="00217E49"/>
    <w:rsid w:val="00221544"/>
    <w:rsid w:val="00230DD0"/>
    <w:rsid w:val="00232036"/>
    <w:rsid w:val="00244D52"/>
    <w:rsid w:val="0025255C"/>
    <w:rsid w:val="00265B6C"/>
    <w:rsid w:val="002D2DC7"/>
    <w:rsid w:val="002E1A51"/>
    <w:rsid w:val="002F3B47"/>
    <w:rsid w:val="002F4101"/>
    <w:rsid w:val="00306918"/>
    <w:rsid w:val="00323B43"/>
    <w:rsid w:val="00330CA0"/>
    <w:rsid w:val="003431FF"/>
    <w:rsid w:val="00346CBC"/>
    <w:rsid w:val="00351EE5"/>
    <w:rsid w:val="00352A47"/>
    <w:rsid w:val="003601CD"/>
    <w:rsid w:val="0038379C"/>
    <w:rsid w:val="00395909"/>
    <w:rsid w:val="003B5AE7"/>
    <w:rsid w:val="003D37D8"/>
    <w:rsid w:val="003D3D01"/>
    <w:rsid w:val="003D422F"/>
    <w:rsid w:val="003F6AD7"/>
    <w:rsid w:val="004058CC"/>
    <w:rsid w:val="004237CC"/>
    <w:rsid w:val="00426133"/>
    <w:rsid w:val="0042770D"/>
    <w:rsid w:val="00432BA4"/>
    <w:rsid w:val="004358AB"/>
    <w:rsid w:val="00460611"/>
    <w:rsid w:val="0046244B"/>
    <w:rsid w:val="00487080"/>
    <w:rsid w:val="0049496C"/>
    <w:rsid w:val="0049525C"/>
    <w:rsid w:val="00495932"/>
    <w:rsid w:val="004A2C77"/>
    <w:rsid w:val="004C35E0"/>
    <w:rsid w:val="004C3E48"/>
    <w:rsid w:val="004D69F7"/>
    <w:rsid w:val="00504015"/>
    <w:rsid w:val="00514DA3"/>
    <w:rsid w:val="00530EE9"/>
    <w:rsid w:val="00552665"/>
    <w:rsid w:val="005622E7"/>
    <w:rsid w:val="005765CF"/>
    <w:rsid w:val="00582C6C"/>
    <w:rsid w:val="00587AC9"/>
    <w:rsid w:val="00590A3C"/>
    <w:rsid w:val="00596433"/>
    <w:rsid w:val="005B4BD7"/>
    <w:rsid w:val="005D69C8"/>
    <w:rsid w:val="00622E39"/>
    <w:rsid w:val="00624C2A"/>
    <w:rsid w:val="0062627F"/>
    <w:rsid w:val="0064767A"/>
    <w:rsid w:val="00652C2E"/>
    <w:rsid w:val="0065762C"/>
    <w:rsid w:val="006761A8"/>
    <w:rsid w:val="00683011"/>
    <w:rsid w:val="006836BE"/>
    <w:rsid w:val="006B5F1C"/>
    <w:rsid w:val="006D1614"/>
    <w:rsid w:val="006E49C0"/>
    <w:rsid w:val="0070063A"/>
    <w:rsid w:val="00710F52"/>
    <w:rsid w:val="00712815"/>
    <w:rsid w:val="00720957"/>
    <w:rsid w:val="00724155"/>
    <w:rsid w:val="0072731E"/>
    <w:rsid w:val="007400C8"/>
    <w:rsid w:val="007442FD"/>
    <w:rsid w:val="00751675"/>
    <w:rsid w:val="00761050"/>
    <w:rsid w:val="00761184"/>
    <w:rsid w:val="007848AB"/>
    <w:rsid w:val="0079768E"/>
    <w:rsid w:val="007A581C"/>
    <w:rsid w:val="007F3C88"/>
    <w:rsid w:val="007F793B"/>
    <w:rsid w:val="008000EE"/>
    <w:rsid w:val="00816270"/>
    <w:rsid w:val="0083404E"/>
    <w:rsid w:val="00852050"/>
    <w:rsid w:val="0088342B"/>
    <w:rsid w:val="008A3245"/>
    <w:rsid w:val="008A4248"/>
    <w:rsid w:val="008A4728"/>
    <w:rsid w:val="008B7726"/>
    <w:rsid w:val="008C7ECD"/>
    <w:rsid w:val="008D1D05"/>
    <w:rsid w:val="008D3F7D"/>
    <w:rsid w:val="009309D0"/>
    <w:rsid w:val="00970946"/>
    <w:rsid w:val="009B58F6"/>
    <w:rsid w:val="009C1E95"/>
    <w:rsid w:val="009D2FE1"/>
    <w:rsid w:val="009D379B"/>
    <w:rsid w:val="009E2D20"/>
    <w:rsid w:val="00A0343F"/>
    <w:rsid w:val="00A06BD4"/>
    <w:rsid w:val="00A201BF"/>
    <w:rsid w:val="00A25DF5"/>
    <w:rsid w:val="00A34078"/>
    <w:rsid w:val="00A53E73"/>
    <w:rsid w:val="00A729A7"/>
    <w:rsid w:val="00A80816"/>
    <w:rsid w:val="00A953D2"/>
    <w:rsid w:val="00AC23D3"/>
    <w:rsid w:val="00AC5875"/>
    <w:rsid w:val="00AD10B3"/>
    <w:rsid w:val="00AF3CC1"/>
    <w:rsid w:val="00AF5C21"/>
    <w:rsid w:val="00B21860"/>
    <w:rsid w:val="00B63635"/>
    <w:rsid w:val="00B72446"/>
    <w:rsid w:val="00B75BFC"/>
    <w:rsid w:val="00B95D6E"/>
    <w:rsid w:val="00B96172"/>
    <w:rsid w:val="00BA7DC2"/>
    <w:rsid w:val="00BF0EB4"/>
    <w:rsid w:val="00BF1BD3"/>
    <w:rsid w:val="00BF664D"/>
    <w:rsid w:val="00C11F5B"/>
    <w:rsid w:val="00C13A1F"/>
    <w:rsid w:val="00C22700"/>
    <w:rsid w:val="00C25C61"/>
    <w:rsid w:val="00C35655"/>
    <w:rsid w:val="00C4230A"/>
    <w:rsid w:val="00C448C2"/>
    <w:rsid w:val="00C5220F"/>
    <w:rsid w:val="00C61130"/>
    <w:rsid w:val="00C70CB5"/>
    <w:rsid w:val="00C91B79"/>
    <w:rsid w:val="00C9253E"/>
    <w:rsid w:val="00CC10CA"/>
    <w:rsid w:val="00CD3051"/>
    <w:rsid w:val="00CD62BB"/>
    <w:rsid w:val="00CE31FA"/>
    <w:rsid w:val="00CF7606"/>
    <w:rsid w:val="00D15FDB"/>
    <w:rsid w:val="00D21895"/>
    <w:rsid w:val="00D31D50"/>
    <w:rsid w:val="00D34960"/>
    <w:rsid w:val="00D34D87"/>
    <w:rsid w:val="00D43F08"/>
    <w:rsid w:val="00D464FE"/>
    <w:rsid w:val="00D752A7"/>
    <w:rsid w:val="00D97CB3"/>
    <w:rsid w:val="00DA3AEE"/>
    <w:rsid w:val="00DA7B43"/>
    <w:rsid w:val="00DA7F4C"/>
    <w:rsid w:val="00DB4D5A"/>
    <w:rsid w:val="00DF1715"/>
    <w:rsid w:val="00DF43DA"/>
    <w:rsid w:val="00E0055E"/>
    <w:rsid w:val="00E0533C"/>
    <w:rsid w:val="00E22EC3"/>
    <w:rsid w:val="00E40D92"/>
    <w:rsid w:val="00E57825"/>
    <w:rsid w:val="00E83A7C"/>
    <w:rsid w:val="00E92477"/>
    <w:rsid w:val="00E93D3B"/>
    <w:rsid w:val="00EA1231"/>
    <w:rsid w:val="00EA6CAC"/>
    <w:rsid w:val="00EB06C8"/>
    <w:rsid w:val="00EB2EEC"/>
    <w:rsid w:val="00EB6AAB"/>
    <w:rsid w:val="00EC5683"/>
    <w:rsid w:val="00F048F1"/>
    <w:rsid w:val="00F146F5"/>
    <w:rsid w:val="00F31A7F"/>
    <w:rsid w:val="00F356D4"/>
    <w:rsid w:val="00F56AC7"/>
    <w:rsid w:val="00F57CAD"/>
    <w:rsid w:val="00F607D9"/>
    <w:rsid w:val="00F612AE"/>
    <w:rsid w:val="00FC1081"/>
    <w:rsid w:val="00FC2E2D"/>
    <w:rsid w:val="00FC5BEC"/>
    <w:rsid w:val="00FE1829"/>
    <w:rsid w:val="00FF5D20"/>
    <w:rsid w:val="00FF60EC"/>
    <w:rsid w:val="01210D2C"/>
    <w:rsid w:val="01BD10C8"/>
    <w:rsid w:val="01C42D74"/>
    <w:rsid w:val="01CE204C"/>
    <w:rsid w:val="02D141AF"/>
    <w:rsid w:val="033606E7"/>
    <w:rsid w:val="0358019B"/>
    <w:rsid w:val="03D77C18"/>
    <w:rsid w:val="042E7D07"/>
    <w:rsid w:val="064A4C5D"/>
    <w:rsid w:val="07223291"/>
    <w:rsid w:val="07EC369C"/>
    <w:rsid w:val="08152EB1"/>
    <w:rsid w:val="0999568C"/>
    <w:rsid w:val="0A1F4725"/>
    <w:rsid w:val="0AA86447"/>
    <w:rsid w:val="0B4E22EB"/>
    <w:rsid w:val="0C1D76FB"/>
    <w:rsid w:val="0CF7339C"/>
    <w:rsid w:val="0CFD4640"/>
    <w:rsid w:val="0D6C1BB0"/>
    <w:rsid w:val="10283AB1"/>
    <w:rsid w:val="11992951"/>
    <w:rsid w:val="12DF1A02"/>
    <w:rsid w:val="1348407B"/>
    <w:rsid w:val="1352562D"/>
    <w:rsid w:val="14CC5085"/>
    <w:rsid w:val="15403723"/>
    <w:rsid w:val="184E6F12"/>
    <w:rsid w:val="1AA911E8"/>
    <w:rsid w:val="1C350066"/>
    <w:rsid w:val="1CD44F37"/>
    <w:rsid w:val="1D174E93"/>
    <w:rsid w:val="1D2119FE"/>
    <w:rsid w:val="1EEA6B0D"/>
    <w:rsid w:val="1F2C220E"/>
    <w:rsid w:val="1F7B995C"/>
    <w:rsid w:val="1FE35582"/>
    <w:rsid w:val="200B46F9"/>
    <w:rsid w:val="20375B89"/>
    <w:rsid w:val="20DF7AAE"/>
    <w:rsid w:val="226641B0"/>
    <w:rsid w:val="25FC2E17"/>
    <w:rsid w:val="26654C16"/>
    <w:rsid w:val="271B4148"/>
    <w:rsid w:val="27F11FE3"/>
    <w:rsid w:val="28A93E9F"/>
    <w:rsid w:val="28D87272"/>
    <w:rsid w:val="2A3439E3"/>
    <w:rsid w:val="2B1C0AEA"/>
    <w:rsid w:val="2BFF2139"/>
    <w:rsid w:val="2C16526C"/>
    <w:rsid w:val="2CA13602"/>
    <w:rsid w:val="2DB038C9"/>
    <w:rsid w:val="2E4A7148"/>
    <w:rsid w:val="2F7428EA"/>
    <w:rsid w:val="2FA42240"/>
    <w:rsid w:val="32645FC5"/>
    <w:rsid w:val="32D8275E"/>
    <w:rsid w:val="32DF2C2C"/>
    <w:rsid w:val="3347301C"/>
    <w:rsid w:val="33C743D4"/>
    <w:rsid w:val="34557741"/>
    <w:rsid w:val="356B28DD"/>
    <w:rsid w:val="36784498"/>
    <w:rsid w:val="37DDA496"/>
    <w:rsid w:val="39F6323F"/>
    <w:rsid w:val="3A696CBD"/>
    <w:rsid w:val="3A804399"/>
    <w:rsid w:val="3BE621F9"/>
    <w:rsid w:val="3C0D2653"/>
    <w:rsid w:val="3C157D2B"/>
    <w:rsid w:val="3C8E5881"/>
    <w:rsid w:val="3CAC6A19"/>
    <w:rsid w:val="3CE54083"/>
    <w:rsid w:val="3D0A5133"/>
    <w:rsid w:val="3EF15D8E"/>
    <w:rsid w:val="3F123CD8"/>
    <w:rsid w:val="3F7B7C70"/>
    <w:rsid w:val="3FE77B72"/>
    <w:rsid w:val="3FFF5CCA"/>
    <w:rsid w:val="40E272C2"/>
    <w:rsid w:val="41311275"/>
    <w:rsid w:val="41C82771"/>
    <w:rsid w:val="41EF44A3"/>
    <w:rsid w:val="429F666D"/>
    <w:rsid w:val="44076CF7"/>
    <w:rsid w:val="443715D3"/>
    <w:rsid w:val="45A7177A"/>
    <w:rsid w:val="46B77C35"/>
    <w:rsid w:val="46DD5E03"/>
    <w:rsid w:val="48285F11"/>
    <w:rsid w:val="48580EFA"/>
    <w:rsid w:val="48966155"/>
    <w:rsid w:val="49141818"/>
    <w:rsid w:val="491C3C37"/>
    <w:rsid w:val="49C35D37"/>
    <w:rsid w:val="4A886717"/>
    <w:rsid w:val="4AC57B9E"/>
    <w:rsid w:val="4AD12811"/>
    <w:rsid w:val="4B877126"/>
    <w:rsid w:val="4BB277F6"/>
    <w:rsid w:val="4DD23B82"/>
    <w:rsid w:val="4F1374CD"/>
    <w:rsid w:val="51A91282"/>
    <w:rsid w:val="51AE4724"/>
    <w:rsid w:val="52997022"/>
    <w:rsid w:val="52AD61B6"/>
    <w:rsid w:val="53980DD9"/>
    <w:rsid w:val="53D0160A"/>
    <w:rsid w:val="5411274A"/>
    <w:rsid w:val="56844480"/>
    <w:rsid w:val="592865B9"/>
    <w:rsid w:val="598A0482"/>
    <w:rsid w:val="59964E8E"/>
    <w:rsid w:val="5A5409DC"/>
    <w:rsid w:val="5AA50AD6"/>
    <w:rsid w:val="5AE24754"/>
    <w:rsid w:val="5B90716B"/>
    <w:rsid w:val="5CED31C5"/>
    <w:rsid w:val="5D416569"/>
    <w:rsid w:val="5E230EAD"/>
    <w:rsid w:val="5E385B7E"/>
    <w:rsid w:val="5F527729"/>
    <w:rsid w:val="607A1853"/>
    <w:rsid w:val="60F32F0C"/>
    <w:rsid w:val="62736796"/>
    <w:rsid w:val="64451C33"/>
    <w:rsid w:val="65BD23AA"/>
    <w:rsid w:val="66F778BF"/>
    <w:rsid w:val="69103800"/>
    <w:rsid w:val="6A7F265E"/>
    <w:rsid w:val="6A905639"/>
    <w:rsid w:val="6AFD4E3D"/>
    <w:rsid w:val="6B737AB1"/>
    <w:rsid w:val="6B770F08"/>
    <w:rsid w:val="6B9DF777"/>
    <w:rsid w:val="6C947BEE"/>
    <w:rsid w:val="6D597F04"/>
    <w:rsid w:val="6D9130C3"/>
    <w:rsid w:val="6DFC0288"/>
    <w:rsid w:val="6E38E82D"/>
    <w:rsid w:val="6E4939D3"/>
    <w:rsid w:val="6EAB1917"/>
    <w:rsid w:val="6FB7316A"/>
    <w:rsid w:val="6FBA0534"/>
    <w:rsid w:val="6FBA1F14"/>
    <w:rsid w:val="6FC94AC7"/>
    <w:rsid w:val="6FFB39C1"/>
    <w:rsid w:val="70831738"/>
    <w:rsid w:val="70A96B36"/>
    <w:rsid w:val="711A2CE1"/>
    <w:rsid w:val="71A91C89"/>
    <w:rsid w:val="71D37615"/>
    <w:rsid w:val="723F4068"/>
    <w:rsid w:val="72516B61"/>
    <w:rsid w:val="726970C4"/>
    <w:rsid w:val="7299046C"/>
    <w:rsid w:val="72C21AA9"/>
    <w:rsid w:val="73206CA7"/>
    <w:rsid w:val="733A607D"/>
    <w:rsid w:val="74331444"/>
    <w:rsid w:val="7474445A"/>
    <w:rsid w:val="74EC3105"/>
    <w:rsid w:val="77D24532"/>
    <w:rsid w:val="790A20F8"/>
    <w:rsid w:val="7A170A17"/>
    <w:rsid w:val="7A804D74"/>
    <w:rsid w:val="7B5573D0"/>
    <w:rsid w:val="7B5B1B76"/>
    <w:rsid w:val="7B897B3A"/>
    <w:rsid w:val="7CC05879"/>
    <w:rsid w:val="7E7F7550"/>
    <w:rsid w:val="7EB70CF6"/>
    <w:rsid w:val="7EE5666F"/>
    <w:rsid w:val="7EF751C8"/>
    <w:rsid w:val="7FF7D1C9"/>
    <w:rsid w:val="9EDCC9B4"/>
    <w:rsid w:val="BFBF9CC3"/>
    <w:rsid w:val="BFFED1C5"/>
    <w:rsid w:val="C3F7122D"/>
    <w:rsid w:val="D2F39A02"/>
    <w:rsid w:val="D67F9FB8"/>
    <w:rsid w:val="DFDE82F6"/>
    <w:rsid w:val="EE8D17CC"/>
    <w:rsid w:val="FB8E824F"/>
    <w:rsid w:val="FBFB8C8E"/>
    <w:rsid w:val="FD4F9BCB"/>
    <w:rsid w:val="FD6C8782"/>
    <w:rsid w:val="FDFE257A"/>
    <w:rsid w:val="FFF4C7BB"/>
    <w:rsid w:val="FFFB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 w:type="paragraph" w:customStyle="1" w:styleId="10">
    <w:name w:val="p0"/>
    <w:basedOn w:val="1"/>
    <w:qFormat/>
    <w:uiPriority w:val="0"/>
    <w:pPr>
      <w:spacing w:line="365" w:lineRule="atLeast"/>
      <w:ind w:left="1"/>
      <w:textAlignment w:val="bottom"/>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58672-9296-4B15-A445-E812C9A5AD84}">
  <ds:schemaRefs/>
</ds:datastoreItem>
</file>

<file path=docProps/app.xml><?xml version="1.0" encoding="utf-8"?>
<Properties xmlns="http://schemas.openxmlformats.org/officeDocument/2006/extended-properties" xmlns:vt="http://schemas.openxmlformats.org/officeDocument/2006/docPropsVTypes">
  <Template>Normal</Template>
  <Pages>12</Pages>
  <Words>786</Words>
  <Characters>4484</Characters>
  <Lines>37</Lines>
  <Paragraphs>10</Paragraphs>
  <TotalTime>49</TotalTime>
  <ScaleCrop>false</ScaleCrop>
  <LinksUpToDate>false</LinksUpToDate>
  <CharactersWithSpaces>5260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总预算</dc:creator>
  <cp:lastModifiedBy>Administrator</cp:lastModifiedBy>
  <cp:lastPrinted>2019-03-11T11:31:00Z</cp:lastPrinted>
  <dcterms:modified xsi:type="dcterms:W3CDTF">2023-03-07T04:10:13Z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