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察隅县</w:t>
      </w:r>
      <w:r>
        <w:rPr>
          <w:rFonts w:hint="eastAsia" w:ascii="方正小标宋简体" w:hAnsi="仿宋" w:eastAsia="方正小标宋简体"/>
          <w:sz w:val="44"/>
          <w:szCs w:val="44"/>
          <w:lang w:eastAsia="zh-CN"/>
        </w:rPr>
        <w:t>完全</w:t>
      </w:r>
      <w:r>
        <w:rPr>
          <w:rFonts w:hint="eastAsia" w:ascii="方正小标宋简体" w:hAnsi="仿宋" w:eastAsia="方正小标宋简体"/>
          <w:sz w:val="44"/>
          <w:szCs w:val="44"/>
        </w:rPr>
        <w:t>小学202</w:t>
      </w:r>
      <w:r>
        <w:rPr>
          <w:rFonts w:hint="eastAsia" w:ascii="方正小标宋简体" w:hAnsi="仿宋" w:eastAsia="方正小标宋简体"/>
          <w:sz w:val="44"/>
          <w:szCs w:val="44"/>
          <w:lang w:val="en-US" w:eastAsia="zh-CN"/>
        </w:rPr>
        <w:t>3</w:t>
      </w:r>
      <w:r>
        <w:rPr>
          <w:rFonts w:hint="eastAsia" w:ascii="方正小标宋简体" w:hAnsi="仿宋" w:eastAsia="方正小标宋简体"/>
          <w:sz w:val="44"/>
          <w:szCs w:val="44"/>
        </w:rPr>
        <w:t>年度部门预算</w:t>
      </w: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仿宋_GB2312" w:hAnsi="宋体" w:eastAsia="仿宋_GB2312"/>
          <w:snapToGrid w:val="0"/>
          <w:w w:val="95"/>
          <w:sz w:val="32"/>
          <w:szCs w:val="32"/>
          <w:lang w:eastAsia="zh-CN"/>
        </w:rPr>
      </w:pPr>
      <w:r>
        <w:rPr>
          <w:rFonts w:hint="eastAsia" w:ascii="仿宋_GB2312" w:hAnsi="宋体" w:eastAsia="仿宋_GB2312"/>
          <w:snapToGrid w:val="0"/>
          <w:w w:val="95"/>
          <w:sz w:val="32"/>
          <w:szCs w:val="32"/>
          <w:lang w:eastAsia="zh-CN"/>
        </w:rPr>
        <w:t>202</w:t>
      </w:r>
      <w:r>
        <w:rPr>
          <w:rFonts w:hint="eastAsia" w:ascii="仿宋_GB2312" w:hAnsi="宋体" w:eastAsia="仿宋_GB2312"/>
          <w:snapToGrid w:val="0"/>
          <w:w w:val="95"/>
          <w:sz w:val="32"/>
          <w:szCs w:val="32"/>
          <w:lang w:val="en-US" w:eastAsia="zh-CN"/>
        </w:rPr>
        <w:t>3</w:t>
      </w:r>
      <w:r>
        <w:rPr>
          <w:rFonts w:hint="eastAsia" w:ascii="仿宋_GB2312" w:hAnsi="宋体" w:eastAsia="仿宋_GB2312"/>
          <w:snapToGrid w:val="0"/>
          <w:w w:val="95"/>
          <w:sz w:val="32"/>
          <w:szCs w:val="32"/>
          <w:lang w:eastAsia="zh-CN"/>
        </w:rPr>
        <w:t>年</w:t>
      </w:r>
      <w:r>
        <w:rPr>
          <w:rFonts w:hint="eastAsia" w:ascii="仿宋_GB2312" w:hAnsi="宋体" w:eastAsia="仿宋_GB2312"/>
          <w:snapToGrid w:val="0"/>
          <w:w w:val="95"/>
          <w:sz w:val="32"/>
          <w:szCs w:val="32"/>
          <w:lang w:val="en-US" w:eastAsia="zh-CN"/>
        </w:rPr>
        <w:t xml:space="preserve"> 02 </w:t>
      </w:r>
      <w:r>
        <w:rPr>
          <w:rFonts w:hint="eastAsia" w:ascii="仿宋_GB2312" w:hAnsi="宋体" w:eastAsia="仿宋_GB2312"/>
          <w:snapToGrid w:val="0"/>
          <w:w w:val="95"/>
          <w:sz w:val="32"/>
          <w:szCs w:val="32"/>
          <w:lang w:eastAsia="zh-CN"/>
        </w:rPr>
        <w:t>月</w:t>
      </w:r>
      <w:r>
        <w:rPr>
          <w:rFonts w:hint="eastAsia" w:ascii="仿宋_GB2312" w:hAnsi="宋体" w:eastAsia="仿宋_GB2312"/>
          <w:snapToGrid w:val="0"/>
          <w:w w:val="95"/>
          <w:sz w:val="32"/>
          <w:szCs w:val="32"/>
          <w:lang w:val="en-US" w:eastAsia="zh-CN"/>
        </w:rPr>
        <w:t>15</w:t>
      </w:r>
      <w:r>
        <w:rPr>
          <w:rFonts w:hint="eastAsia" w:ascii="仿宋_GB2312" w:hAnsi="宋体" w:eastAsia="仿宋_GB2312"/>
          <w:snapToGrid w:val="0"/>
          <w:w w:val="95"/>
          <w:sz w:val="32"/>
          <w:szCs w:val="32"/>
          <w:lang w:eastAsia="zh-CN"/>
        </w:rPr>
        <w:t>日</w:t>
      </w: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目  录</w:t>
      </w: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察隅县小学概况</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察隅县小学202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年度部门预算明细表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五、一般公共预算支出情况表（按功能分类科目）</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六、一般公共预算基本支出情况表（按经济分类款级科目）</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七、一般公共预算“三公”经费支出情况表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八、政府性基金“三公”经费支出情况表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九、政府性基金预算支出情况表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_GB2312" w:hAnsi="宋体" w:eastAsia="仿宋_GB2312"/>
          <w:snapToGrid w:val="0"/>
          <w:w w:val="95"/>
          <w:sz w:val="32"/>
          <w:szCs w:val="32"/>
        </w:rPr>
      </w:pPr>
      <w:r>
        <w:rPr>
          <w:rFonts w:hint="eastAsia" w:ascii="仿宋_GB2312" w:hAnsi="宋体" w:eastAsia="仿宋_GB2312"/>
          <w:snapToGrid w:val="0"/>
          <w:w w:val="95"/>
          <w:sz w:val="32"/>
          <w:szCs w:val="32"/>
        </w:rPr>
        <w:t>十、项目支出绩效</w:t>
      </w:r>
      <w:r>
        <w:rPr>
          <w:rFonts w:hint="eastAsia" w:ascii="仿宋_GB2312" w:hAnsi="宋体" w:eastAsia="仿宋_GB2312"/>
          <w:snapToGrid w:val="0"/>
          <w:w w:val="95"/>
          <w:sz w:val="32"/>
          <w:szCs w:val="32"/>
          <w:lang w:eastAsia="zh-CN"/>
        </w:rPr>
        <w:t>信息</w:t>
      </w:r>
      <w:r>
        <w:rPr>
          <w:rFonts w:hint="eastAsia" w:ascii="仿宋_GB2312" w:hAnsi="宋体" w:eastAsia="仿宋_GB2312"/>
          <w:snapToGrid w:val="0"/>
          <w:w w:val="95"/>
          <w:sz w:val="32"/>
          <w:szCs w:val="32"/>
        </w:rPr>
        <w:t>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_GB2312" w:hAnsi="宋体" w:eastAsia="仿宋_GB2312"/>
          <w:snapToGrid w:val="0"/>
          <w:w w:val="95"/>
          <w:sz w:val="32"/>
          <w:szCs w:val="32"/>
        </w:rPr>
      </w:pPr>
      <w:r>
        <w:rPr>
          <w:rFonts w:hint="eastAsia" w:ascii="仿宋_GB2312" w:hAnsi="宋体" w:eastAsia="仿宋_GB2312"/>
          <w:snapToGrid w:val="0"/>
          <w:w w:val="95"/>
          <w:sz w:val="32"/>
          <w:szCs w:val="32"/>
        </w:rPr>
        <w:t>十一、政府购买服务预算表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察隅县小学202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年度部门预算数据分析</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p>
    <w:p>
      <w:pPr>
        <w:spacing w:after="0" w:line="560" w:lineRule="exact"/>
        <w:jc w:val="both"/>
        <w:rPr>
          <w:rFonts w:ascii="仿宋_GB2312" w:hAnsi="黑体" w:eastAsia="仿宋_GB2312" w:cs="黑体"/>
          <w:bCs/>
          <w:snapToGrid w:val="0"/>
          <w:w w:val="95"/>
          <w:sz w:val="32"/>
          <w:szCs w:val="32"/>
        </w:rPr>
      </w:pPr>
      <w:r>
        <w:rPr>
          <w:rFonts w:hint="eastAsia" w:ascii="仿宋_GB2312" w:hAnsi="黑体" w:eastAsia="仿宋_GB2312" w:cs="黑体"/>
          <w:bCs/>
          <w:snapToGrid w:val="0"/>
          <w:w w:val="95"/>
          <w:sz w:val="32"/>
          <w:szCs w:val="32"/>
        </w:rPr>
        <w:t>附件：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宋体" w:eastAsia="仿宋_GB2312"/>
          <w:snapToGrid w:val="0"/>
          <w:w w:val="95"/>
          <w:sz w:val="32"/>
          <w:szCs w:val="32"/>
          <w:lang w:eastAsia="zh-CN"/>
        </w:rPr>
      </w:pPr>
      <w:r>
        <w:rPr>
          <w:rFonts w:hint="eastAsia" w:ascii="仿宋_GB2312" w:hAnsi="宋体" w:eastAsia="仿宋_GB2312"/>
          <w:snapToGrid w:val="0"/>
          <w:w w:val="95"/>
          <w:sz w:val="32"/>
          <w:szCs w:val="32"/>
        </w:rPr>
        <w:t>察隅县</w:t>
      </w:r>
      <w:r>
        <w:rPr>
          <w:rFonts w:hint="eastAsia" w:ascii="仿宋_GB2312" w:hAnsi="宋体" w:eastAsia="仿宋_GB2312"/>
          <w:snapToGrid w:val="0"/>
          <w:w w:val="95"/>
          <w:sz w:val="32"/>
          <w:szCs w:val="32"/>
          <w:lang w:eastAsia="zh-CN"/>
        </w:rPr>
        <w:t>小学</w:t>
      </w:r>
      <w:r>
        <w:rPr>
          <w:rFonts w:hint="eastAsia" w:ascii="仿宋_GB2312" w:hAnsi="宋体" w:eastAsia="仿宋_GB2312"/>
          <w:snapToGrid w:val="0"/>
          <w:w w:val="95"/>
          <w:sz w:val="32"/>
          <w:szCs w:val="32"/>
        </w:rPr>
        <w:t>202</w:t>
      </w:r>
      <w:r>
        <w:rPr>
          <w:rFonts w:hint="eastAsia" w:ascii="仿宋_GB2312" w:hAnsi="宋体" w:eastAsia="仿宋_GB2312"/>
          <w:snapToGrid w:val="0"/>
          <w:w w:val="95"/>
          <w:sz w:val="32"/>
          <w:szCs w:val="32"/>
          <w:lang w:val="en-US" w:eastAsia="zh-CN"/>
        </w:rPr>
        <w:t>3</w:t>
      </w:r>
      <w:r>
        <w:rPr>
          <w:rFonts w:hint="eastAsia" w:ascii="仿宋_GB2312" w:hAnsi="宋体" w:eastAsia="仿宋_GB2312"/>
          <w:snapToGrid w:val="0"/>
          <w:w w:val="95"/>
          <w:sz w:val="32"/>
          <w:szCs w:val="32"/>
        </w:rPr>
        <w:t>年度部门预算明细表</w:t>
      </w:r>
      <w:r>
        <w:rPr>
          <w:rFonts w:hint="eastAsia" w:ascii="仿宋_GB2312" w:hAnsi="宋体" w:eastAsia="仿宋_GB2312"/>
          <w:snapToGrid w:val="0"/>
          <w:w w:val="95"/>
          <w:sz w:val="32"/>
          <w:szCs w:val="32"/>
          <w:lang w:eastAsia="zh-CN"/>
        </w:rPr>
        <w:t>（含</w:t>
      </w:r>
      <w:r>
        <w:rPr>
          <w:rFonts w:hint="eastAsia" w:ascii="仿宋_GB2312" w:hAnsi="宋体" w:eastAsia="仿宋_GB2312"/>
          <w:snapToGrid w:val="0"/>
          <w:w w:val="95"/>
          <w:sz w:val="32"/>
          <w:szCs w:val="32"/>
          <w:lang w:val="en-US" w:eastAsia="zh-CN"/>
        </w:rPr>
        <w:t>十一张表</w:t>
      </w:r>
      <w:r>
        <w:rPr>
          <w:rFonts w:hint="eastAsia" w:ascii="仿宋_GB2312" w:hAnsi="宋体" w:eastAsia="仿宋_GB2312"/>
          <w:snapToGrid w:val="0"/>
          <w:w w:val="95"/>
          <w:sz w:val="32"/>
          <w:szCs w:val="32"/>
          <w:lang w:eastAsia="zh-CN"/>
        </w:rPr>
        <w:t>）</w:t>
      </w: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spacing w:line="570" w:lineRule="exact"/>
        <w:ind w:left="0" w:leftChars="0" w:right="0" w:rightChars="0"/>
        <w:jc w:val="both"/>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第一部分</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察隅县小学概况</w:t>
      </w: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主要职能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ascii="仿宋_GB2312" w:eastAsia="仿宋_GB2312"/>
          <w:sz w:val="32"/>
          <w:szCs w:val="32"/>
        </w:rPr>
      </w:pPr>
      <w:r>
        <w:rPr>
          <w:rFonts w:hint="eastAsia" w:ascii="仿宋_GB2312" w:hAnsi="黑体" w:eastAsia="仿宋_GB2312"/>
          <w:sz w:val="32"/>
          <w:szCs w:val="32"/>
        </w:rPr>
        <w:t>认真贯彻落实党和国家的方针、政策，正确执行上级主管部门的决议和指示，全面实施素质教育，培养德、智、体、美等方面全面发展的社会主义事业的建设者和接班人；全面贯彻党的教育方针，做好基础教育，根据教育规律、社会要求和学校实际，组织制定学校发展的远景规划、近期目标、学年和学期各项工作计划以及各项工作指标并组织实施；加强学校的科学化管理，制定和健全各项规章制度，规范办学行为，培养良好校风，逐步实现管理决策的科学化，管理方法的定量化和管理手段的现代化；负责教师队伍建设工作，决定校内教职工的工作安排，组织对教职工进行考核，实施奖惩。制定教师队伍建设规划，不断提高他们的政治素质、文化业务水平和科研水平；领导和组织学校的思想政治工作，把德育工作放在首位；研究思想政治工作的要求、内容、方法和规律，不断加强对学生的思想政治、法制纪律和道德品质教育以及做好管理工作；教育全体教职工做到教书育人、管理育人、服务育人，搞好学校、社会、家庭三结合教育；以教学为中心，保证教学计划的贯彻执行；有计划地参加教研活动，有目的地深入教学第一线，了解教师教学和学生学习情况；加强对财务工作的领导，正确使用各项经费，不断改善办学条件，强化安全工作管理，创造良好的育人环境；加强与党支部的合作，主动接受学校党组织的监督，搞好领导班子的团结和协作；依靠群众办学，实行民主管理和民主监督，定期向家长报告工作，充分发挥家长参与学校民主管理和民主监督的作用；主持学校与学生家长及社会的联系工作和外来工作。搞好校际间的交流，做好与社会各界的联系工作，争取各方面力量对学校的支持；深入了解教学活动，检查督促教学常规的落实，针对教学中存在的问题，采取措施，不断提高教学质量；组织教师的业务学习，制定教师进修计划，定期检查执行情况，做好师资力量的安排和调整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ascii="仿宋" w:hAnsi="仿宋" w:eastAsia="仿宋"/>
          <w:sz w:val="32"/>
          <w:szCs w:val="32"/>
        </w:rPr>
      </w:pPr>
      <w:r>
        <w:rPr>
          <w:rFonts w:hint="eastAsia" w:ascii="仿宋_GB2312" w:hAnsi="黑体" w:eastAsia="仿宋_GB2312"/>
          <w:sz w:val="32"/>
          <w:szCs w:val="32"/>
        </w:rPr>
        <w:t>察隅县小学设有教务处、德育室、少先队辅导员、教研室、校长办公室、工会。</w:t>
      </w:r>
    </w:p>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黑体" w:hAnsi="黑体" w:eastAsia="黑体"/>
          <w:sz w:val="44"/>
          <w:szCs w:val="44"/>
        </w:rPr>
      </w:pPr>
      <w:r>
        <w:rPr>
          <w:rFonts w:hint="eastAsia" w:ascii="方正小标宋简体" w:hAnsi="仿宋" w:eastAsia="方正小标宋简体"/>
          <w:sz w:val="44"/>
          <w:szCs w:val="44"/>
        </w:rPr>
        <w:t>第二部分</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察隅县小学202</w:t>
      </w:r>
      <w:r>
        <w:rPr>
          <w:rFonts w:hint="eastAsia" w:ascii="方正小标宋简体" w:hAnsi="仿宋" w:eastAsia="方正小标宋简体"/>
          <w:sz w:val="44"/>
          <w:szCs w:val="44"/>
          <w:lang w:val="en-US" w:eastAsia="zh-CN"/>
        </w:rPr>
        <w:t>3</w:t>
      </w:r>
      <w:r>
        <w:rPr>
          <w:rFonts w:hint="eastAsia" w:ascii="方正小标宋简体" w:hAnsi="仿宋" w:eastAsia="方正小标宋简体"/>
          <w:sz w:val="44"/>
          <w:szCs w:val="44"/>
        </w:rPr>
        <w:t>年度预算明细表（表格详见附件）</w:t>
      </w: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黑体" w:hAnsi="黑体" w:eastAsia="黑体"/>
          <w:sz w:val="44"/>
          <w:szCs w:val="44"/>
        </w:rPr>
      </w:pP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第三部分</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察隅县小学202</w:t>
      </w:r>
      <w:r>
        <w:rPr>
          <w:rFonts w:hint="eastAsia" w:ascii="方正小标宋简体" w:hAnsi="仿宋" w:eastAsia="方正小标宋简体"/>
          <w:sz w:val="44"/>
          <w:szCs w:val="44"/>
          <w:lang w:val="en-US" w:eastAsia="zh-CN"/>
        </w:rPr>
        <w:t>3</w:t>
      </w:r>
      <w:r>
        <w:rPr>
          <w:rFonts w:hint="eastAsia" w:ascii="方正小标宋简体" w:hAnsi="仿宋" w:eastAsia="方正小标宋简体"/>
          <w:sz w:val="44"/>
          <w:szCs w:val="44"/>
        </w:rPr>
        <w:t>年度部门预算数据分析</w:t>
      </w:r>
    </w:p>
    <w:p>
      <w:pPr>
        <w:keepNext w:val="0"/>
        <w:keepLines w:val="0"/>
        <w:pageBreakBefore w:val="0"/>
        <w:kinsoku/>
        <w:wordWrap/>
        <w:overflowPunct/>
        <w:topLinePunct w:val="0"/>
        <w:bidi w:val="0"/>
        <w:spacing w:line="570" w:lineRule="exact"/>
        <w:ind w:left="0" w:leftChars="0" w:right="0" w:rightChars="0"/>
        <w:jc w:val="center"/>
        <w:textAlignment w:val="auto"/>
        <w:outlineLvl w:val="9"/>
        <w:rPr>
          <w:rFonts w:ascii="黑体" w:hAnsi="黑体" w:eastAsia="黑体"/>
          <w:sz w:val="32"/>
          <w:szCs w:val="32"/>
        </w:rPr>
      </w:pP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3</w:t>
      </w:r>
      <w:r>
        <w:rPr>
          <w:rFonts w:hint="eastAsia" w:ascii="黑体" w:hAnsi="黑体" w:eastAsia="黑体"/>
          <w:sz w:val="32"/>
          <w:szCs w:val="32"/>
        </w:rPr>
        <w:t>年度部门收支总表的说明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年度收支总预算</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万元。收入包括：一般公共预算拨款收入</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万元；支出包括：教育支出</w:t>
      </w:r>
      <w:r>
        <w:rPr>
          <w:rFonts w:hint="eastAsia" w:ascii="仿宋_GB2312" w:hAnsi="黑体" w:eastAsia="仿宋_GB2312"/>
          <w:sz w:val="32"/>
          <w:szCs w:val="32"/>
          <w:lang w:val="en-US" w:eastAsia="zh-CN"/>
        </w:rPr>
        <w:t>1,934.86</w:t>
      </w:r>
      <w:r>
        <w:rPr>
          <w:rFonts w:hint="eastAsia" w:ascii="仿宋_GB2312" w:hAnsi="黑体" w:eastAsia="仿宋_GB2312"/>
          <w:sz w:val="32"/>
          <w:szCs w:val="32"/>
        </w:rPr>
        <w:t>万元、社会保障和就业支出270.72万元</w:t>
      </w:r>
      <w:r>
        <w:rPr>
          <w:rFonts w:hint="eastAsia" w:ascii="仿宋_GB2312" w:hAnsi="黑体" w:eastAsia="仿宋_GB2312"/>
          <w:sz w:val="32"/>
          <w:szCs w:val="32"/>
          <w:lang w:eastAsia="zh-CN"/>
        </w:rPr>
        <w:t>、卫生健康支出95.03万元、住房保障支出58.69万元</w:t>
      </w:r>
      <w:r>
        <w:rPr>
          <w:rFonts w:hint="eastAsia" w:ascii="仿宋_GB2312" w:hAnsi="黑体" w:eastAsia="仿宋_GB2312"/>
          <w:sz w:val="32"/>
          <w:szCs w:val="32"/>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3</w:t>
      </w:r>
      <w:r>
        <w:rPr>
          <w:rFonts w:hint="eastAsia" w:ascii="黑体" w:hAnsi="黑体" w:eastAsia="黑体"/>
          <w:sz w:val="32"/>
          <w:szCs w:val="32"/>
        </w:rPr>
        <w:t>年度部门收入总表的说明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年度收入预算</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万元，其中：一般公共预算拨款收入</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总收入较上年增加</w:t>
      </w:r>
      <w:r>
        <w:rPr>
          <w:rFonts w:hint="eastAsia" w:ascii="仿宋_GB2312" w:hAnsi="黑体" w:eastAsia="仿宋_GB2312"/>
          <w:sz w:val="32"/>
          <w:szCs w:val="32"/>
          <w:lang w:val="en-US" w:eastAsia="zh-CN"/>
        </w:rPr>
        <w:t>34%，主要原因为2023年项目收入预算509.08万元。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highlight w:val="none"/>
        </w:rPr>
      </w:pPr>
      <w:r>
        <w:rPr>
          <w:rFonts w:hint="eastAsia" w:ascii="黑体" w:hAnsi="黑体" w:eastAsia="黑体"/>
          <w:sz w:val="32"/>
          <w:szCs w:val="32"/>
          <w:highlight w:val="none"/>
        </w:rPr>
        <w:t>三、202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年度部门支出总表的说明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年度支出预算</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1,850.23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78</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509.08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22</w:t>
      </w:r>
      <w:r>
        <w:rPr>
          <w:rFonts w:hint="eastAsia" w:ascii="仿宋_GB2312" w:hAnsi="黑体" w:eastAsia="仿宋_GB2312"/>
          <w:sz w:val="32"/>
          <w:szCs w:val="32"/>
        </w:rPr>
        <w:t>%。</w:t>
      </w:r>
      <w:r>
        <w:rPr>
          <w:rFonts w:hint="eastAsia" w:ascii="仿宋_GB2312" w:hAnsi="黑体" w:eastAsia="仿宋_GB2312"/>
          <w:sz w:val="32"/>
          <w:szCs w:val="32"/>
          <w:lang w:eastAsia="zh-CN"/>
        </w:rPr>
        <w:t>总支出较上年增加</w:t>
      </w:r>
      <w:r>
        <w:rPr>
          <w:rFonts w:hint="eastAsia" w:ascii="仿宋_GB2312" w:hAnsi="黑体" w:eastAsia="仿宋_GB2312"/>
          <w:sz w:val="32"/>
          <w:szCs w:val="32"/>
          <w:lang w:val="en-US" w:eastAsia="zh-CN"/>
        </w:rPr>
        <w:t>34%，主要原因为2023年项目收入预算509.08万元。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highlight w:val="none"/>
        </w:rPr>
      </w:pPr>
      <w:r>
        <w:rPr>
          <w:rFonts w:hint="eastAsia" w:ascii="黑体" w:hAnsi="黑体" w:eastAsia="黑体"/>
          <w:sz w:val="32"/>
          <w:szCs w:val="32"/>
          <w:highlight w:val="none"/>
        </w:rPr>
        <w:t>四、202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年度财政拨款收支总表的说明</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年度收支总预算</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万元。收入包括：一般公共预算拨款收入</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万元；支出包括：教育支出</w:t>
      </w:r>
      <w:r>
        <w:rPr>
          <w:rFonts w:hint="eastAsia" w:ascii="仿宋_GB2312" w:hAnsi="黑体" w:eastAsia="仿宋_GB2312"/>
          <w:sz w:val="32"/>
          <w:szCs w:val="32"/>
          <w:lang w:val="en-US" w:eastAsia="zh-CN"/>
        </w:rPr>
        <w:t>1,934.86</w:t>
      </w:r>
      <w:r>
        <w:rPr>
          <w:rFonts w:hint="eastAsia" w:ascii="仿宋_GB2312" w:hAnsi="黑体" w:eastAsia="仿宋_GB2312"/>
          <w:sz w:val="32"/>
          <w:szCs w:val="32"/>
        </w:rPr>
        <w:t>万元、社会保障和就业支出270.72万元</w:t>
      </w:r>
      <w:r>
        <w:rPr>
          <w:rFonts w:hint="eastAsia" w:ascii="仿宋_GB2312" w:hAnsi="黑体" w:eastAsia="仿宋_GB2312"/>
          <w:sz w:val="32"/>
          <w:szCs w:val="32"/>
          <w:lang w:eastAsia="zh-CN"/>
        </w:rPr>
        <w:t>、卫生健康支出95.03万元、住房保障支出58.69万元</w:t>
      </w:r>
      <w:r>
        <w:rPr>
          <w:rFonts w:hint="eastAsia" w:ascii="仿宋_GB2312" w:hAnsi="黑体" w:eastAsia="仿宋_GB2312"/>
          <w:sz w:val="32"/>
          <w:szCs w:val="32"/>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五、202</w:t>
      </w:r>
      <w:r>
        <w:rPr>
          <w:rFonts w:hint="eastAsia" w:ascii="黑体" w:hAnsi="黑体" w:eastAsia="黑体"/>
          <w:sz w:val="32"/>
          <w:szCs w:val="32"/>
          <w:lang w:val="en-US" w:eastAsia="zh-CN"/>
        </w:rPr>
        <w:t>3</w:t>
      </w:r>
      <w:r>
        <w:rPr>
          <w:rFonts w:hint="eastAsia" w:ascii="黑体" w:hAnsi="黑体" w:eastAsia="黑体"/>
          <w:sz w:val="32"/>
          <w:szCs w:val="32"/>
        </w:rPr>
        <w:t>年度一般公共预算支出表的说明</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年度一般公共预算当年拨款</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万元,比202</w:t>
      </w:r>
      <w:r>
        <w:rPr>
          <w:rFonts w:hint="eastAsia" w:ascii="仿宋_GB2312" w:hAnsi="黑体" w:eastAsia="仿宋_GB2312"/>
          <w:sz w:val="32"/>
          <w:szCs w:val="32"/>
          <w:lang w:val="en-US" w:eastAsia="zh-CN"/>
        </w:rPr>
        <w:t>2</w:t>
      </w:r>
      <w:r>
        <w:rPr>
          <w:rFonts w:hint="eastAsia" w:ascii="仿宋_GB2312" w:hAnsi="黑体" w:eastAsia="仿宋_GB2312"/>
          <w:sz w:val="32"/>
          <w:szCs w:val="32"/>
        </w:rPr>
        <w:t xml:space="preserve"> 年执行数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807.5</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34%</w:t>
      </w:r>
      <w:r>
        <w:rPr>
          <w:rFonts w:hint="eastAsia" w:ascii="仿宋_GB2312" w:hAnsi="黑体" w:eastAsia="仿宋_GB2312"/>
          <w:sz w:val="32"/>
          <w:szCs w:val="32"/>
          <w:lang w:eastAsia="zh-CN"/>
        </w:rPr>
        <w:t>。</w:t>
      </w:r>
      <w:r>
        <w:rPr>
          <w:rFonts w:hint="eastAsia" w:ascii="仿宋_GB2312" w:hAnsi="黑体" w:eastAsia="仿宋_GB2312"/>
          <w:sz w:val="32"/>
          <w:szCs w:val="32"/>
        </w:rPr>
        <w:t>主要原因</w:t>
      </w:r>
      <w:r>
        <w:rPr>
          <w:rFonts w:hint="eastAsia" w:ascii="仿宋_GB2312" w:hAnsi="黑体" w:eastAsia="仿宋_GB2312"/>
          <w:sz w:val="32"/>
          <w:szCs w:val="32"/>
          <w:lang w:eastAsia="zh-CN"/>
        </w:rPr>
        <w:t>为今年项目支出预算</w:t>
      </w:r>
      <w:r>
        <w:rPr>
          <w:rFonts w:hint="eastAsia" w:ascii="仿宋_GB2312" w:hAnsi="黑体" w:eastAsia="仿宋_GB2312"/>
          <w:sz w:val="32"/>
          <w:szCs w:val="32"/>
          <w:lang w:val="en-US" w:eastAsia="zh-CN"/>
        </w:rPr>
        <w:t>509.08</w:t>
      </w:r>
      <w:r>
        <w:rPr>
          <w:rFonts w:hint="eastAsia" w:ascii="仿宋_GB2312" w:hAnsi="黑体" w:eastAsia="仿宋_GB2312"/>
          <w:sz w:val="32"/>
          <w:szCs w:val="32"/>
        </w:rPr>
        <w:t>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年度一般公共预算当年拨款教育支出</w:t>
      </w:r>
      <w:r>
        <w:rPr>
          <w:rFonts w:hint="eastAsia" w:ascii="仿宋_GB2312" w:hAnsi="黑体" w:eastAsia="仿宋_GB2312"/>
          <w:sz w:val="32"/>
          <w:szCs w:val="32"/>
          <w:lang w:val="en-US" w:eastAsia="zh-CN"/>
        </w:rPr>
        <w:t>1934.86</w:t>
      </w:r>
      <w:r>
        <w:rPr>
          <w:rFonts w:hint="eastAsia" w:ascii="仿宋_GB2312" w:hAnsi="黑体" w:eastAsia="仿宋_GB2312"/>
          <w:sz w:val="32"/>
          <w:szCs w:val="32"/>
        </w:rPr>
        <w:t>万元，基本支出</w:t>
      </w:r>
      <w:r>
        <w:rPr>
          <w:rFonts w:hint="eastAsia" w:ascii="仿宋_GB2312" w:hAnsi="黑体" w:eastAsia="仿宋_GB2312"/>
          <w:sz w:val="32"/>
          <w:szCs w:val="32"/>
          <w:lang w:val="en-US" w:eastAsia="zh-CN"/>
        </w:rPr>
        <w:t>1850.23</w:t>
      </w:r>
      <w:r>
        <w:rPr>
          <w:rFonts w:hint="eastAsia" w:ascii="仿宋_GB2312" w:hAnsi="黑体" w:eastAsia="仿宋_GB2312"/>
          <w:sz w:val="32"/>
          <w:szCs w:val="32"/>
        </w:rPr>
        <w:t>万元；项目支出</w:t>
      </w:r>
      <w:r>
        <w:rPr>
          <w:rFonts w:hint="eastAsia" w:ascii="仿宋_GB2312" w:hAnsi="黑体" w:eastAsia="仿宋_GB2312"/>
          <w:sz w:val="32"/>
          <w:szCs w:val="32"/>
          <w:lang w:val="en-US" w:eastAsia="zh-CN"/>
        </w:rPr>
        <w:t>509.08</w:t>
      </w:r>
      <w:r>
        <w:rPr>
          <w:rFonts w:hint="eastAsia" w:ascii="仿宋_GB2312" w:hAnsi="黑体" w:eastAsia="仿宋_GB2312"/>
          <w:sz w:val="32"/>
          <w:szCs w:val="32"/>
        </w:rPr>
        <w:t>万元。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年度一般公共预算当年拨款支出</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工资福利支出</w:t>
      </w:r>
      <w:r>
        <w:rPr>
          <w:rFonts w:hint="eastAsia" w:ascii="仿宋_GB2312" w:hAnsi="黑体" w:eastAsia="仿宋_GB2312"/>
          <w:sz w:val="32"/>
          <w:szCs w:val="32"/>
          <w:lang w:val="en-US" w:eastAsia="zh-CN"/>
        </w:rPr>
        <w:t>1,850.23</w:t>
      </w:r>
      <w:r>
        <w:rPr>
          <w:rFonts w:hint="eastAsia" w:ascii="仿宋_GB2312" w:hAnsi="黑体" w:eastAsia="仿宋_GB2312"/>
          <w:sz w:val="32"/>
          <w:szCs w:val="32"/>
        </w:rPr>
        <w:t>万元，其中：基本工资1,301.58</w:t>
      </w:r>
      <w:r>
        <w:rPr>
          <w:rFonts w:hint="eastAsia" w:ascii="仿宋_GB2312" w:hAnsi="黑体" w:eastAsia="仿宋_GB2312"/>
          <w:sz w:val="32"/>
          <w:szCs w:val="32"/>
          <w:lang w:eastAsia="zh-CN"/>
        </w:rPr>
        <w:t>万元，奖金108.46万元，</w:t>
      </w:r>
      <w:r>
        <w:rPr>
          <w:rFonts w:hint="eastAsia" w:ascii="仿宋_GB2312" w:hAnsi="黑体" w:eastAsia="仿宋_GB2312"/>
          <w:sz w:val="32"/>
          <w:szCs w:val="32"/>
        </w:rPr>
        <w:t>财政对其他基本养老保险基金的补助255.18万元，财政对职工基本医疗保险基金的补助为</w:t>
      </w:r>
      <w:r>
        <w:rPr>
          <w:rFonts w:hint="eastAsia" w:ascii="仿宋_GB2312" w:hAnsi="黑体" w:eastAsia="仿宋_GB2312"/>
          <w:sz w:val="32"/>
          <w:szCs w:val="32"/>
          <w:lang w:val="en-US" w:eastAsia="zh-CN"/>
        </w:rPr>
        <w:t>95.03</w:t>
      </w:r>
      <w:r>
        <w:rPr>
          <w:rFonts w:hint="eastAsia" w:ascii="仿宋_GB2312" w:hAnsi="黑体" w:eastAsia="仿宋_GB2312"/>
          <w:sz w:val="32"/>
          <w:szCs w:val="32"/>
        </w:rPr>
        <w:t>万元，财政对</w:t>
      </w:r>
      <w:r>
        <w:rPr>
          <w:rFonts w:hint="eastAsia" w:ascii="仿宋_GB2312" w:hAnsi="黑体" w:eastAsia="仿宋_GB2312"/>
          <w:sz w:val="32"/>
          <w:szCs w:val="32"/>
          <w:lang w:eastAsia="zh-CN"/>
        </w:rPr>
        <w:t>其他社会保障缴费为</w:t>
      </w:r>
      <w:r>
        <w:rPr>
          <w:rFonts w:hint="eastAsia" w:ascii="仿宋_GB2312" w:hAnsi="黑体" w:eastAsia="仿宋_GB2312"/>
          <w:sz w:val="32"/>
          <w:szCs w:val="32"/>
          <w:lang w:val="en-US" w:eastAsia="zh-CN"/>
        </w:rPr>
        <w:t>15.54</w:t>
      </w:r>
      <w:r>
        <w:rPr>
          <w:rFonts w:hint="eastAsia" w:ascii="仿宋_GB2312" w:hAnsi="黑体" w:eastAsia="仿宋_GB2312"/>
          <w:sz w:val="32"/>
          <w:szCs w:val="32"/>
        </w:rPr>
        <w:t>万元，住房公积金的补助为</w:t>
      </w:r>
      <w:r>
        <w:rPr>
          <w:rFonts w:hint="eastAsia" w:ascii="仿宋_GB2312" w:hAnsi="黑体" w:eastAsia="仿宋_GB2312"/>
          <w:sz w:val="32"/>
          <w:szCs w:val="32"/>
          <w:lang w:val="en-US" w:eastAsia="zh-CN"/>
        </w:rPr>
        <w:t>58.69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其他工资福利支出</w:t>
      </w:r>
      <w:r>
        <w:rPr>
          <w:rFonts w:hint="eastAsia" w:ascii="仿宋_GB2312" w:hAnsi="黑体" w:eastAsia="仿宋_GB2312"/>
          <w:sz w:val="32"/>
          <w:szCs w:val="32"/>
          <w:lang w:val="en-US" w:eastAsia="zh-CN"/>
        </w:rPr>
        <w:t>15.74万元</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w:t>
      </w:r>
      <w:r>
        <w:rPr>
          <w:rFonts w:hint="eastAsia" w:ascii="仿宋_GB2312" w:hAnsi="黑体" w:eastAsia="仿宋_GB2312"/>
          <w:sz w:val="32"/>
          <w:szCs w:val="32"/>
        </w:rPr>
        <w:t>基本支出</w:t>
      </w:r>
      <w:r>
        <w:rPr>
          <w:rFonts w:hint="eastAsia" w:ascii="仿宋_GB2312" w:hAnsi="黑体" w:eastAsia="仿宋_GB2312"/>
          <w:sz w:val="32"/>
          <w:szCs w:val="32"/>
          <w:lang w:val="en-US" w:eastAsia="zh-CN"/>
        </w:rPr>
        <w:t>1850.23</w:t>
      </w:r>
      <w:r>
        <w:rPr>
          <w:rFonts w:hint="eastAsia" w:ascii="仿宋_GB2312" w:hAnsi="黑体" w:eastAsia="仿宋_GB2312"/>
          <w:sz w:val="32"/>
          <w:szCs w:val="32"/>
        </w:rPr>
        <w:t>万元。其中：普通教育（</w:t>
      </w:r>
      <w:r>
        <w:rPr>
          <w:rFonts w:hint="eastAsia" w:ascii="仿宋_GB2312" w:hAnsi="黑体" w:eastAsia="仿宋_GB2312"/>
          <w:sz w:val="32"/>
          <w:szCs w:val="32"/>
          <w:lang w:eastAsia="zh-CN"/>
        </w:rPr>
        <w:t>小学</w:t>
      </w:r>
      <w:r>
        <w:rPr>
          <w:rFonts w:hint="eastAsia" w:ascii="仿宋_GB2312" w:hAnsi="黑体" w:eastAsia="仿宋_GB2312"/>
          <w:sz w:val="32"/>
          <w:szCs w:val="32"/>
        </w:rPr>
        <w:t>教育）支出</w:t>
      </w:r>
      <w:r>
        <w:rPr>
          <w:rFonts w:hint="eastAsia" w:ascii="仿宋_GB2312" w:hAnsi="黑体" w:eastAsia="仿宋_GB2312"/>
          <w:sz w:val="32"/>
          <w:szCs w:val="32"/>
          <w:lang w:val="en-US" w:eastAsia="zh-CN"/>
        </w:rPr>
        <w:t>1,425.78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社会保障和就业支出270.72万元</w:t>
      </w:r>
      <w:r>
        <w:rPr>
          <w:rFonts w:hint="eastAsia" w:ascii="仿宋_GB2312" w:hAnsi="黑体" w:eastAsia="仿宋_GB2312"/>
          <w:sz w:val="32"/>
          <w:szCs w:val="32"/>
          <w:lang w:eastAsia="zh-CN"/>
        </w:rPr>
        <w:t>、卫生健康支出95.03万元、住房保障支出58.69万元</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sz w:val="32"/>
          <w:szCs w:val="32"/>
          <w:lang w:val="en-US" w:eastAsia="zh-CN"/>
        </w:rPr>
        <w:t>.</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509.08</w:t>
      </w:r>
      <w:r>
        <w:rPr>
          <w:rFonts w:hint="eastAsia" w:ascii="仿宋_GB2312" w:hAnsi="黑体" w:eastAsia="仿宋_GB2312"/>
          <w:sz w:val="32"/>
          <w:szCs w:val="32"/>
        </w:rPr>
        <w:t>万元。其中：普通教育（</w:t>
      </w:r>
      <w:r>
        <w:rPr>
          <w:rFonts w:hint="eastAsia" w:ascii="仿宋_GB2312" w:hAnsi="黑体" w:eastAsia="仿宋_GB2312"/>
          <w:sz w:val="32"/>
          <w:szCs w:val="32"/>
          <w:lang w:eastAsia="zh-CN"/>
        </w:rPr>
        <w:t>小学</w:t>
      </w:r>
      <w:r>
        <w:rPr>
          <w:rFonts w:hint="eastAsia" w:ascii="仿宋_GB2312" w:hAnsi="黑体" w:eastAsia="仿宋_GB2312"/>
          <w:sz w:val="32"/>
          <w:szCs w:val="32"/>
        </w:rPr>
        <w:t>教育）支出</w:t>
      </w:r>
      <w:r>
        <w:rPr>
          <w:rFonts w:hint="eastAsia" w:ascii="仿宋_GB2312" w:hAnsi="黑体" w:eastAsia="仿宋_GB2312"/>
          <w:sz w:val="32"/>
          <w:szCs w:val="32"/>
          <w:lang w:val="en-US" w:eastAsia="zh-CN"/>
        </w:rPr>
        <w:t>509.08</w:t>
      </w:r>
      <w:r>
        <w:rPr>
          <w:rFonts w:hint="eastAsia" w:ascii="仿宋_GB2312" w:hAnsi="黑体" w:eastAsia="仿宋_GB2312"/>
          <w:sz w:val="32"/>
          <w:szCs w:val="32"/>
        </w:rPr>
        <w:t>万元</w:t>
      </w:r>
      <w:r>
        <w:rPr>
          <w:rFonts w:hint="eastAsia" w:ascii="仿宋_GB2312" w:hAnsi="黑体" w:eastAsia="仿宋_GB2312"/>
          <w:sz w:val="32"/>
          <w:szCs w:val="32"/>
          <w:lang w:eastAsia="zh-CN"/>
        </w:rPr>
        <w:t>，其他教育支出0.75万元</w:t>
      </w:r>
      <w:r>
        <w:rPr>
          <w:rFonts w:hint="eastAsia" w:ascii="仿宋_GB2312" w:hAnsi="黑体" w:eastAsia="仿宋_GB2312"/>
          <w:sz w:val="32"/>
          <w:szCs w:val="32"/>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六、202</w:t>
      </w:r>
      <w:r>
        <w:rPr>
          <w:rFonts w:hint="eastAsia" w:ascii="黑体" w:hAnsi="黑体" w:eastAsia="黑体"/>
          <w:sz w:val="32"/>
          <w:szCs w:val="32"/>
          <w:lang w:val="en-US" w:eastAsia="zh-CN"/>
        </w:rPr>
        <w:t>3</w:t>
      </w:r>
      <w:r>
        <w:rPr>
          <w:rFonts w:hint="eastAsia" w:ascii="黑体" w:hAnsi="黑体" w:eastAsia="黑体"/>
          <w:sz w:val="32"/>
          <w:szCs w:val="32"/>
        </w:rPr>
        <w:t>年一般公共预算基本支出表的说明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年一般公共预算基本支出</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万元，主要</w:t>
      </w:r>
      <w:r>
        <w:rPr>
          <w:rFonts w:hint="eastAsia" w:ascii="仿宋_GB2312" w:hAnsi="黑体" w:eastAsia="仿宋_GB2312"/>
          <w:sz w:val="32"/>
          <w:szCs w:val="32"/>
          <w:lang w:eastAsia="zh-CN"/>
        </w:rPr>
        <w:t>为工资福利支出</w:t>
      </w:r>
      <w:r>
        <w:rPr>
          <w:rFonts w:hint="eastAsia" w:ascii="仿宋_GB2312" w:hAnsi="黑体" w:eastAsia="仿宋_GB2312"/>
          <w:sz w:val="32"/>
          <w:szCs w:val="32"/>
          <w:lang w:val="en-US" w:eastAsia="zh-CN"/>
        </w:rPr>
        <w:t>2,359.31</w:t>
      </w:r>
      <w:r>
        <w:rPr>
          <w:rFonts w:hint="eastAsia" w:ascii="仿宋_GB2312" w:hAnsi="黑体" w:eastAsia="仿宋_GB2312"/>
          <w:sz w:val="32"/>
          <w:szCs w:val="32"/>
          <w:lang w:eastAsia="zh-CN"/>
        </w:rPr>
        <w:t>万元，</w:t>
      </w:r>
      <w:r>
        <w:rPr>
          <w:rFonts w:hint="eastAsia" w:ascii="仿宋_GB2312" w:hAnsi="黑体" w:eastAsia="仿宋_GB2312"/>
          <w:sz w:val="32"/>
          <w:szCs w:val="32"/>
        </w:rPr>
        <w:t>基本工资1,301.58</w:t>
      </w:r>
      <w:r>
        <w:rPr>
          <w:rFonts w:hint="eastAsia" w:ascii="仿宋_GB2312" w:hAnsi="黑体" w:eastAsia="仿宋_GB2312"/>
          <w:sz w:val="32"/>
          <w:szCs w:val="32"/>
          <w:lang w:eastAsia="zh-CN"/>
        </w:rPr>
        <w:t>万元，奖金108.46万元，</w:t>
      </w:r>
      <w:r>
        <w:rPr>
          <w:rFonts w:hint="eastAsia" w:ascii="仿宋_GB2312" w:hAnsi="黑体" w:eastAsia="仿宋_GB2312"/>
          <w:sz w:val="32"/>
          <w:szCs w:val="32"/>
        </w:rPr>
        <w:t>财政对其他基本养老保险基金的补助255.18万元，财政对职工基本医疗保险基金的补助为</w:t>
      </w:r>
      <w:r>
        <w:rPr>
          <w:rFonts w:hint="eastAsia" w:ascii="仿宋_GB2312" w:hAnsi="黑体" w:eastAsia="仿宋_GB2312"/>
          <w:sz w:val="32"/>
          <w:szCs w:val="32"/>
          <w:lang w:val="en-US" w:eastAsia="zh-CN"/>
        </w:rPr>
        <w:t>95.03</w:t>
      </w:r>
      <w:r>
        <w:rPr>
          <w:rFonts w:hint="eastAsia" w:ascii="仿宋_GB2312" w:hAnsi="黑体" w:eastAsia="仿宋_GB2312"/>
          <w:sz w:val="32"/>
          <w:szCs w:val="32"/>
        </w:rPr>
        <w:t>万元，财政对</w:t>
      </w:r>
      <w:r>
        <w:rPr>
          <w:rFonts w:hint="eastAsia" w:ascii="仿宋_GB2312" w:hAnsi="黑体" w:eastAsia="仿宋_GB2312"/>
          <w:sz w:val="32"/>
          <w:szCs w:val="32"/>
          <w:lang w:eastAsia="zh-CN"/>
        </w:rPr>
        <w:t>其他社会保障缴费为</w:t>
      </w:r>
      <w:r>
        <w:rPr>
          <w:rFonts w:hint="eastAsia" w:ascii="仿宋_GB2312" w:hAnsi="黑体" w:eastAsia="仿宋_GB2312"/>
          <w:sz w:val="32"/>
          <w:szCs w:val="32"/>
          <w:lang w:val="en-US" w:eastAsia="zh-CN"/>
        </w:rPr>
        <w:t>15.54</w:t>
      </w:r>
      <w:r>
        <w:rPr>
          <w:rFonts w:hint="eastAsia" w:ascii="仿宋_GB2312" w:hAnsi="黑体" w:eastAsia="仿宋_GB2312"/>
          <w:sz w:val="32"/>
          <w:szCs w:val="32"/>
        </w:rPr>
        <w:t>万元，住房公积金的补助为</w:t>
      </w:r>
      <w:r>
        <w:rPr>
          <w:rFonts w:hint="eastAsia" w:ascii="仿宋_GB2312" w:hAnsi="黑体" w:eastAsia="仿宋_GB2312"/>
          <w:sz w:val="32"/>
          <w:szCs w:val="32"/>
          <w:lang w:val="en-US" w:eastAsia="zh-CN"/>
        </w:rPr>
        <w:t>58.69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其他工资福利支出（个人取暖费、休假探亲费</w:t>
      </w:r>
      <w:r>
        <w:rPr>
          <w:rFonts w:hint="eastAsia" w:ascii="仿宋_GB2312" w:hAnsi="黑体" w:eastAsia="仿宋_GB2312"/>
          <w:sz w:val="32"/>
          <w:szCs w:val="32"/>
          <w:lang w:eastAsia="zh-CN"/>
        </w:rPr>
        <w:t>等</w:t>
      </w:r>
      <w:r>
        <w:rPr>
          <w:rFonts w:hint="eastAsia" w:ascii="仿宋_GB2312" w:hAnsi="黑体" w:eastAsia="仿宋_GB2312"/>
          <w:sz w:val="32"/>
          <w:szCs w:val="32"/>
        </w:rPr>
        <w:t>）</w:t>
      </w:r>
      <w:r>
        <w:rPr>
          <w:rFonts w:hint="eastAsia" w:ascii="仿宋_GB2312" w:hAnsi="黑体" w:eastAsia="仿宋_GB2312"/>
          <w:sz w:val="32"/>
          <w:szCs w:val="32"/>
          <w:lang w:val="en-US" w:eastAsia="zh-CN"/>
        </w:rPr>
        <w:t>15.74</w:t>
      </w:r>
      <w:r>
        <w:rPr>
          <w:rFonts w:hint="eastAsia" w:ascii="仿宋_GB2312" w:hAnsi="黑体" w:eastAsia="仿宋_GB2312"/>
          <w:sz w:val="32"/>
          <w:szCs w:val="32"/>
        </w:rPr>
        <w:t>万元。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七、202</w:t>
      </w:r>
      <w:r>
        <w:rPr>
          <w:rFonts w:hint="eastAsia" w:ascii="黑体" w:hAnsi="黑体" w:eastAsia="黑体"/>
          <w:sz w:val="32"/>
          <w:szCs w:val="32"/>
          <w:lang w:val="en-US" w:eastAsia="zh-CN"/>
        </w:rPr>
        <w:t>3</w:t>
      </w:r>
      <w:r>
        <w:rPr>
          <w:rFonts w:hint="eastAsia" w:ascii="黑体" w:hAnsi="黑体" w:eastAsia="黑体"/>
          <w:sz w:val="32"/>
          <w:szCs w:val="32"/>
        </w:rPr>
        <w:t>年度一般公共预算“三公”经费预算情况说明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lang w:eastAsia="zh-CN"/>
        </w:rPr>
        <w:t>学校</w:t>
      </w:r>
      <w:r>
        <w:rPr>
          <w:rFonts w:hint="eastAsia" w:ascii="仿宋_GB2312" w:hAnsi="黑体" w:eastAsia="仿宋_GB2312"/>
          <w:sz w:val="32"/>
          <w:szCs w:val="32"/>
        </w:rPr>
        <w:t>无一般公共预算“三公”经费</w:t>
      </w:r>
      <w:r>
        <w:rPr>
          <w:rFonts w:hint="eastAsia" w:ascii="仿宋_GB2312" w:hAnsi="黑体" w:eastAsia="仿宋_GB2312"/>
          <w:sz w:val="32"/>
          <w:szCs w:val="32"/>
          <w:lang w:eastAsia="zh-CN"/>
        </w:rPr>
        <w:t>预算</w:t>
      </w:r>
      <w:r>
        <w:rPr>
          <w:rFonts w:hint="eastAsia" w:ascii="仿宋_GB2312" w:hAnsi="黑体" w:eastAsia="仿宋_GB2312"/>
          <w:sz w:val="32"/>
          <w:szCs w:val="32"/>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八、202</w:t>
      </w:r>
      <w:r>
        <w:rPr>
          <w:rFonts w:hint="eastAsia" w:ascii="黑体" w:hAnsi="黑体" w:eastAsia="黑体"/>
          <w:sz w:val="32"/>
          <w:szCs w:val="32"/>
          <w:lang w:val="en-US" w:eastAsia="zh-CN"/>
        </w:rPr>
        <w:t>3</w:t>
      </w:r>
      <w:r>
        <w:rPr>
          <w:rFonts w:hint="eastAsia" w:ascii="黑体" w:hAnsi="黑体" w:eastAsia="黑体"/>
          <w:sz w:val="32"/>
          <w:szCs w:val="32"/>
        </w:rPr>
        <w:t>年度政府性基金预算支出情况说明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lang w:eastAsia="zh-CN"/>
        </w:rPr>
        <w:t>学校</w:t>
      </w:r>
      <w:r>
        <w:rPr>
          <w:rFonts w:hint="eastAsia" w:ascii="仿宋_GB2312" w:hAnsi="黑体" w:eastAsia="仿宋_GB2312"/>
          <w:sz w:val="32"/>
          <w:szCs w:val="32"/>
        </w:rPr>
        <w:t>无政府性基金预算收支</w:t>
      </w:r>
      <w:r>
        <w:rPr>
          <w:rFonts w:hint="eastAsia" w:ascii="仿宋_GB2312" w:hAnsi="黑体" w:eastAsia="仿宋_GB2312"/>
          <w:sz w:val="32"/>
          <w:szCs w:val="32"/>
          <w:lang w:eastAsia="zh-CN"/>
        </w:rPr>
        <w:t>预算</w:t>
      </w:r>
      <w:r>
        <w:rPr>
          <w:rFonts w:hint="eastAsia" w:ascii="仿宋_GB2312" w:hAnsi="黑体" w:eastAsia="仿宋_GB2312"/>
          <w:sz w:val="32"/>
          <w:szCs w:val="32"/>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val="0"/>
        <w:autoSpaceDN w:val="0"/>
        <w:bidi w:val="0"/>
        <w:adjustRightInd w:val="0"/>
        <w:snapToGrid/>
        <w:spacing w:line="57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（一）政府采购情况说明。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黑体" w:eastAsia="仿宋_GB2312"/>
          <w:sz w:val="32"/>
          <w:szCs w:val="32"/>
        </w:rPr>
      </w:pPr>
      <w:r>
        <w:rPr>
          <w:rFonts w:hint="eastAsia" w:ascii="仿宋_GB2312" w:hAnsi="仿宋_GB2312" w:eastAsia="仿宋_GB2312"/>
          <w:i w:val="0"/>
          <w:iCs w:val="0"/>
          <w:sz w:val="32"/>
          <w:szCs w:val="32"/>
        </w:rPr>
        <w:t>202</w:t>
      </w:r>
      <w:r>
        <w:rPr>
          <w:rFonts w:hint="eastAsia" w:ascii="仿宋_GB2312" w:hAnsi="仿宋_GB2312" w:eastAsia="仿宋_GB2312"/>
          <w:i w:val="0"/>
          <w:iCs w:val="0"/>
          <w:sz w:val="32"/>
          <w:szCs w:val="32"/>
          <w:lang w:val="en-US" w:eastAsia="zh-CN"/>
        </w:rPr>
        <w:t>3</w:t>
      </w:r>
      <w:r>
        <w:rPr>
          <w:rFonts w:hint="eastAsia" w:ascii="仿宋_GB2312" w:hAnsi="仿宋_GB2312" w:eastAsia="仿宋_GB2312"/>
          <w:i w:val="0"/>
          <w:iCs w:val="0"/>
          <w:sz w:val="32"/>
          <w:szCs w:val="32"/>
        </w:rPr>
        <w:t>年</w:t>
      </w:r>
      <w:r>
        <w:rPr>
          <w:rFonts w:hint="eastAsia" w:ascii="仿宋_GB2312" w:hAnsi="黑体" w:eastAsia="仿宋_GB2312"/>
          <w:sz w:val="32"/>
          <w:szCs w:val="32"/>
          <w:lang w:eastAsia="zh-CN"/>
        </w:rPr>
        <w:t>察隅县小学</w:t>
      </w:r>
      <w:r>
        <w:rPr>
          <w:rFonts w:hint="eastAsia" w:ascii="仿宋_GB2312" w:hAnsi="黑体" w:eastAsia="仿宋_GB2312"/>
          <w:snapToGrid w:val="0"/>
          <w:w w:val="95"/>
          <w:sz w:val="32"/>
          <w:szCs w:val="32"/>
          <w:lang w:val="en-US" w:eastAsia="zh-CN"/>
        </w:rPr>
        <w:t>政府采购预算为0万元。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（二）国有资产占有使用情况说明。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截至202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年1月31日，学校无车辆，202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年部门预算未安排购置车辆。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）预算的绩效情况说明及重点项目预算绩效目标表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sz w:val="32"/>
          <w:szCs w:val="32"/>
          <w:lang w:eastAsia="zh-CN"/>
        </w:rPr>
        <w:t>察隅县小学</w:t>
      </w:r>
      <w:r>
        <w:rPr>
          <w:rFonts w:hint="eastAsia" w:ascii="仿宋_GB2312" w:hAnsi="黑体" w:eastAsia="仿宋_GB2312"/>
          <w:sz w:val="32"/>
          <w:szCs w:val="32"/>
        </w:rPr>
        <w:t>实现财政支出绩效目标管理全覆盖，实行绩效目标管理</w:t>
      </w:r>
      <w:r>
        <w:rPr>
          <w:rFonts w:hint="eastAsia" w:ascii="仿宋_GB2312" w:hAnsi="黑体" w:eastAsia="仿宋_GB2312"/>
          <w:sz w:val="32"/>
          <w:szCs w:val="32"/>
          <w:lang w:val="en-US" w:eastAsia="zh-CN"/>
        </w:rPr>
        <w:t>28</w:t>
      </w:r>
      <w:r>
        <w:rPr>
          <w:rFonts w:hint="eastAsia" w:ascii="仿宋_GB2312" w:hAnsi="黑体" w:eastAsia="仿宋_GB2312"/>
          <w:sz w:val="32"/>
          <w:szCs w:val="32"/>
        </w:rPr>
        <w:t>个，资金</w:t>
      </w:r>
      <w:r>
        <w:rPr>
          <w:rFonts w:hint="eastAsia" w:ascii="仿宋_GB2312" w:hAnsi="黑体" w:eastAsia="仿宋_GB2312"/>
          <w:sz w:val="32"/>
          <w:szCs w:val="32"/>
          <w:lang w:val="en-US" w:eastAsia="zh-CN"/>
        </w:rPr>
        <w:t>2,359.31</w:t>
      </w:r>
      <w:r>
        <w:rPr>
          <w:rFonts w:hint="eastAsia" w:ascii="仿宋_GB2312" w:hAnsi="黑体" w:eastAsia="仿宋_GB2312"/>
          <w:sz w:val="32"/>
          <w:szCs w:val="32"/>
        </w:rPr>
        <w:t>万元</w:t>
      </w:r>
      <w:r>
        <w:rPr>
          <w:rFonts w:hint="eastAsia" w:ascii="仿宋_GB2312" w:hAnsi="黑体" w:eastAsia="仿宋_GB2312"/>
          <w:sz w:val="32"/>
          <w:szCs w:val="32"/>
          <w:lang w:eastAsia="zh-CN"/>
        </w:rPr>
        <w:t>，无重点项目。</w:t>
      </w:r>
    </w:p>
    <w:p>
      <w:pPr>
        <w:keepNext w:val="0"/>
        <w:keepLines w:val="0"/>
        <w:pageBreakBefore w:val="0"/>
        <w:widowControl w:val="0"/>
        <w:numPr>
          <w:ilvl w:val="0"/>
          <w:numId w:val="0"/>
        </w:numPr>
        <w:kinsoku/>
        <w:wordWrap/>
        <w:overflowPunct/>
        <w:topLinePunct w:val="0"/>
        <w:bidi w:val="0"/>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default" w:ascii="仿宋_GB2312" w:hAnsi="黑体" w:eastAsia="仿宋_GB2312"/>
          <w:sz w:val="32"/>
          <w:szCs w:val="32"/>
          <w:lang w:val="en-US" w:eastAsia="zh-CN"/>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sz w:val="32"/>
          <w:szCs w:val="32"/>
          <w:lang w:eastAsia="zh-CN"/>
        </w:rPr>
        <w:t>察隅县小学无扶贫资金预算安排。</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textAlignment w:val="auto"/>
        <w:outlineLvl w:val="9"/>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五</w:t>
      </w:r>
      <w:r>
        <w:rPr>
          <w:rFonts w:hint="eastAsia" w:ascii="楷体" w:hAnsi="楷体" w:eastAsia="楷体"/>
          <w:sz w:val="32"/>
          <w:szCs w:val="32"/>
        </w:rPr>
        <w:t>）政府债务情况。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sz w:val="32"/>
          <w:szCs w:val="32"/>
          <w:lang w:eastAsia="zh-CN"/>
        </w:rPr>
        <w:t>察隅县小学无举借债务情况。</w:t>
      </w:r>
    </w:p>
    <w:p>
      <w:pPr>
        <w:keepNext w:val="0"/>
        <w:keepLines w:val="0"/>
        <w:pageBreakBefore w:val="0"/>
        <w:kinsoku/>
        <w:wordWrap/>
        <w:overflowPunct/>
        <w:topLinePunct w:val="0"/>
        <w:bidi w:val="0"/>
        <w:spacing w:line="570" w:lineRule="exact"/>
        <w:ind w:left="0" w:leftChars="0" w:right="0" w:rightChars="0"/>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spacing w:line="570" w:lineRule="exact"/>
        <w:ind w:right="0" w:rightChars="0"/>
        <w:jc w:val="center"/>
        <w:textAlignment w:val="auto"/>
        <w:outlineLvl w:val="9"/>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第四部分</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名词解释</w:t>
      </w:r>
    </w:p>
    <w:bookmarkEnd w:id="0"/>
    <w:p>
      <w:pPr>
        <w:keepNext w:val="0"/>
        <w:keepLines w:val="0"/>
        <w:pageBreakBefore w:val="0"/>
        <w:kinsoku/>
        <w:wordWrap/>
        <w:overflowPunct/>
        <w:topLinePunct w:val="0"/>
        <w:bidi w:val="0"/>
        <w:spacing w:line="570" w:lineRule="exact"/>
        <w:ind w:left="0" w:leftChars="0" w:right="0" w:rightChars="0"/>
        <w:textAlignment w:val="auto"/>
        <w:outlineLvl w:val="9"/>
        <w:rPr>
          <w:rFonts w:ascii="仿宋" w:hAnsi="仿宋" w:eastAsia="仿宋"/>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黑体" w:hAnsi="黑体" w:eastAsia="黑体" w:cs="黑体"/>
          <w:sz w:val="32"/>
          <w:szCs w:val="32"/>
          <w:lang w:eastAsia="zh-CN"/>
        </w:rPr>
        <w:t>一、一般公共预算</w:t>
      </w:r>
      <w:r>
        <w:rPr>
          <w:rFonts w:hint="eastAsia" w:ascii="黑体" w:hAnsi="黑体" w:eastAsia="黑体" w:cs="黑体"/>
          <w:sz w:val="32"/>
          <w:szCs w:val="32"/>
        </w:rPr>
        <w:t>拨款</w:t>
      </w:r>
      <w:r>
        <w:rPr>
          <w:rFonts w:hint="eastAsia" w:ascii="黑体" w:hAnsi="黑体" w:eastAsia="黑体" w:cs="黑体"/>
          <w:sz w:val="32"/>
          <w:szCs w:val="32"/>
          <w:lang w:eastAsia="zh-CN"/>
        </w:rPr>
        <w:t>收入</w:t>
      </w:r>
      <w:r>
        <w:rPr>
          <w:rFonts w:hint="eastAsia" w:ascii="仿宋_GB2312" w:hAnsi="宋体" w:eastAsia="仿宋_GB2312" w:cs="宋体"/>
          <w:sz w:val="32"/>
          <w:szCs w:val="32"/>
          <w:lang w:eastAsia="zh-CN"/>
        </w:rPr>
        <w:t>：</w:t>
      </w:r>
      <w:r>
        <w:rPr>
          <w:rFonts w:hint="eastAsia" w:ascii="仿宋_GB2312" w:hAnsi="黑体" w:eastAsia="仿宋_GB2312"/>
          <w:sz w:val="32"/>
          <w:szCs w:val="32"/>
        </w:rPr>
        <w:t>指</w:t>
      </w:r>
      <w:r>
        <w:rPr>
          <w:rFonts w:hint="eastAsia" w:ascii="仿宋_GB2312" w:hAnsi="黑体" w:eastAsia="仿宋_GB2312"/>
          <w:sz w:val="32"/>
          <w:szCs w:val="32"/>
          <w:lang w:eastAsia="zh-CN"/>
        </w:rPr>
        <w:t>本级</w:t>
      </w:r>
      <w:r>
        <w:rPr>
          <w:rFonts w:hint="eastAsia" w:ascii="仿宋_GB2312" w:hAnsi="黑体" w:eastAsia="仿宋_GB2312"/>
          <w:sz w:val="32"/>
          <w:szCs w:val="32"/>
        </w:rPr>
        <w:t>财政当年拨付的资金。</w:t>
      </w:r>
    </w:p>
    <w:p>
      <w:pPr>
        <w:keepNext w:val="0"/>
        <w:keepLines w:val="0"/>
        <w:pageBreakBefore w:val="0"/>
        <w:widowControl/>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黑体" w:hAnsi="黑体" w:eastAsia="黑体"/>
          <w:sz w:val="32"/>
          <w:szCs w:val="32"/>
          <w:lang w:eastAsia="zh-CN"/>
        </w:rPr>
        <w:t>二</w:t>
      </w:r>
      <w:r>
        <w:rPr>
          <w:rFonts w:hint="eastAsia" w:ascii="黑体" w:hAnsi="黑体" w:eastAsia="黑体"/>
          <w:sz w:val="32"/>
          <w:szCs w:val="32"/>
        </w:rPr>
        <w:t>、其他收入：</w:t>
      </w:r>
      <w:r>
        <w:rPr>
          <w:rFonts w:hint="eastAsia" w:ascii="仿宋_GB2312" w:hAnsi="黑体" w:eastAsia="仿宋_GB2312"/>
          <w:sz w:val="32"/>
          <w:szCs w:val="32"/>
        </w:rPr>
        <w:t>指除上述“一般公共预算拨款收入”、“事业收入”、“事业单位经营收入”等以外的收入。主要是按规定动用的售房收入、存款利息收入等。</w:t>
      </w:r>
    </w:p>
    <w:p>
      <w:pPr>
        <w:keepNext w:val="0"/>
        <w:keepLines w:val="0"/>
        <w:pageBreakBefore w:val="0"/>
        <w:widowControl/>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黑体" w:hAnsi="黑体" w:eastAsia="黑体"/>
          <w:sz w:val="32"/>
          <w:szCs w:val="32"/>
          <w:lang w:eastAsia="zh-CN"/>
        </w:rPr>
        <w:t>三</w:t>
      </w:r>
      <w:r>
        <w:rPr>
          <w:rFonts w:hint="eastAsia" w:ascii="黑体" w:hAnsi="黑体" w:eastAsia="黑体"/>
          <w:sz w:val="32"/>
          <w:szCs w:val="32"/>
        </w:rPr>
        <w:t>、上年结转：</w:t>
      </w:r>
      <w:r>
        <w:rPr>
          <w:rFonts w:hint="eastAsia" w:ascii="仿宋_GB2312" w:hAnsi="黑体" w:eastAsia="仿宋_GB2312"/>
          <w:sz w:val="32"/>
          <w:szCs w:val="32"/>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lang w:eastAsia="zh-CN"/>
        </w:rPr>
      </w:pPr>
      <w:r>
        <w:rPr>
          <w:rFonts w:hint="eastAsia" w:ascii="黑体" w:hAnsi="黑体" w:eastAsia="黑体" w:cs="黑体"/>
          <w:sz w:val="32"/>
          <w:szCs w:val="32"/>
          <w:lang w:eastAsia="zh-CN"/>
        </w:rPr>
        <w:t>四、一般公共服务支出：</w:t>
      </w:r>
      <w:r>
        <w:rPr>
          <w:rFonts w:hint="eastAsia" w:ascii="仿宋_GB2312" w:hAnsi="黑体" w:eastAsia="仿宋_GB2312"/>
          <w:sz w:val="32"/>
          <w:szCs w:val="32"/>
          <w:lang w:eastAsia="zh-CN"/>
        </w:rPr>
        <w:t>反应政府提供一般公共服务的支出。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黑体" w:hAnsi="黑体" w:eastAsia="黑体"/>
          <w:sz w:val="32"/>
          <w:szCs w:val="32"/>
          <w:lang w:eastAsia="zh-CN"/>
        </w:rPr>
        <w:t>五</w:t>
      </w:r>
      <w:r>
        <w:rPr>
          <w:rFonts w:ascii="黑体" w:hAnsi="黑体" w:eastAsia="黑体"/>
          <w:sz w:val="32"/>
          <w:szCs w:val="32"/>
        </w:rPr>
        <w:t>、基本</w:t>
      </w:r>
      <w:r>
        <w:rPr>
          <w:rFonts w:hint="eastAsia" w:ascii="黑体" w:hAnsi="黑体" w:eastAsia="黑体"/>
          <w:sz w:val="32"/>
          <w:szCs w:val="32"/>
        </w:rPr>
        <w:t>支出：</w:t>
      </w:r>
      <w:r>
        <w:rPr>
          <w:rFonts w:hint="eastAsia" w:ascii="仿宋_GB2312" w:hAnsi="黑体" w:eastAsia="仿宋_GB2312"/>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auto"/>
        <w:outlineLvl w:val="9"/>
        <w:rPr>
          <w:rFonts w:hint="eastAsia" w:ascii="仿宋" w:hAnsi="仿宋" w:eastAsia="仿宋"/>
          <w:sz w:val="32"/>
          <w:szCs w:val="32"/>
          <w:lang w:eastAsia="zh-CN"/>
        </w:rPr>
      </w:pPr>
      <w:r>
        <w:rPr>
          <w:rFonts w:hint="eastAsia" w:ascii="黑体" w:hAnsi="黑体" w:eastAsia="黑体"/>
          <w:sz w:val="32"/>
          <w:szCs w:val="32"/>
          <w:lang w:eastAsia="zh-CN"/>
        </w:rPr>
        <w:t>六</w:t>
      </w:r>
      <w:r>
        <w:rPr>
          <w:rFonts w:ascii="黑体" w:hAnsi="黑体" w:eastAsia="黑体"/>
          <w:sz w:val="32"/>
          <w:szCs w:val="32"/>
        </w:rPr>
        <w:t>、</w:t>
      </w:r>
      <w:r>
        <w:rPr>
          <w:rFonts w:hint="eastAsia" w:ascii="黑体" w:hAnsi="黑体" w:eastAsia="黑体"/>
          <w:sz w:val="32"/>
          <w:szCs w:val="32"/>
        </w:rPr>
        <w:t>项目支出：</w:t>
      </w:r>
      <w:r>
        <w:rPr>
          <w:rFonts w:hint="eastAsia" w:ascii="仿宋_GB2312" w:hAnsi="黑体" w:eastAsia="仿宋_GB2312"/>
          <w:sz w:val="32"/>
          <w:szCs w:val="32"/>
        </w:rPr>
        <w:t>指在基本支出之外为完成特定行政任务或事业发展目标所发生的支出。</w:t>
      </w:r>
      <w:r>
        <w:rPr>
          <w:rFonts w:hint="eastAsia" w:ascii="仿宋_GB2312" w:hAnsi="黑体" w:eastAsia="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lang w:eastAsia="zh-CN"/>
        </w:rPr>
      </w:pPr>
      <w:r>
        <w:rPr>
          <w:rFonts w:hint="eastAsia" w:ascii="黑体" w:hAnsi="黑体" w:eastAsia="黑体" w:cs="黑体"/>
          <w:sz w:val="32"/>
          <w:szCs w:val="32"/>
          <w:lang w:eastAsia="zh-CN"/>
        </w:rPr>
        <w:t>七、住房保障支出：</w:t>
      </w:r>
      <w:r>
        <w:rPr>
          <w:rFonts w:hint="eastAsia" w:ascii="仿宋_GB2312" w:hAnsi="黑体" w:eastAsia="仿宋_GB2312"/>
          <w:sz w:val="32"/>
          <w:szCs w:val="32"/>
          <w:lang w:eastAsia="zh-CN"/>
        </w:rPr>
        <w:t>集中反映政府用于住房方面的支出。</w:t>
      </w:r>
    </w:p>
    <w:p>
      <w:pPr>
        <w:keepNext w:val="0"/>
        <w:keepLines w:val="0"/>
        <w:pageBreakBefore w:val="0"/>
        <w:widowControl/>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、机关运行</w:t>
      </w:r>
      <w:r>
        <w:rPr>
          <w:rFonts w:hint="eastAsia" w:ascii="黑体" w:hAnsi="黑体" w:eastAsia="黑体"/>
          <w:sz w:val="32"/>
          <w:szCs w:val="32"/>
        </w:rPr>
        <w:t>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、“三公”经费</w:t>
      </w:r>
      <w:r>
        <w:rPr>
          <w:rFonts w:hint="eastAsia" w:ascii="黑体" w:hAnsi="黑体" w:eastAsia="黑体" w:cs="黑体"/>
          <w:sz w:val="32"/>
          <w:szCs w:val="32"/>
          <w:lang w:eastAsia="zh-CN"/>
        </w:rPr>
        <w:t>：</w:t>
      </w:r>
      <w:r>
        <w:rPr>
          <w:rFonts w:hint="eastAsia" w:ascii="仿宋_GB2312" w:hAnsi="黑体" w:eastAsia="仿宋_GB2312"/>
          <w:sz w:val="32"/>
          <w:szCs w:val="32"/>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包括领导干部专车、一般公务用车和执法执勤用车</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黑体" w:hAnsi="黑体" w:eastAsia="黑体"/>
          <w:sz w:val="32"/>
          <w:szCs w:val="32"/>
          <w:lang w:eastAsia="zh-CN"/>
        </w:rPr>
        <w:t>十</w:t>
      </w:r>
      <w:r>
        <w:rPr>
          <w:rFonts w:ascii="黑体" w:hAnsi="黑体" w:eastAsia="黑体"/>
          <w:sz w:val="32"/>
          <w:szCs w:val="32"/>
        </w:rPr>
        <w:t>、</w:t>
      </w:r>
      <w:r>
        <w:rPr>
          <w:rFonts w:hint="eastAsia" w:ascii="黑体" w:hAnsi="黑体" w:eastAsia="黑体"/>
          <w:sz w:val="32"/>
          <w:szCs w:val="32"/>
        </w:rPr>
        <w:t>重点项目：</w:t>
      </w:r>
      <w:r>
        <w:rPr>
          <w:rFonts w:hint="eastAsia" w:ascii="仿宋_GB2312" w:hAnsi="黑体" w:eastAsia="仿宋_GB2312"/>
          <w:sz w:val="32"/>
          <w:szCs w:val="32"/>
        </w:rPr>
        <w:t>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sz w:val="24"/>
                              <w:szCs w:val="24"/>
                            </w:rPr>
                          </w:pPr>
                          <w:r>
                            <w:rPr>
                              <w:rStyle w:val="7"/>
                              <w:rFonts w:hint="eastAsia" w:ascii="仿宋_GB2312" w:hAnsi="仿宋_GB2312" w:eastAsia="仿宋_GB2312" w:cs="仿宋_GB2312"/>
                              <w:sz w:val="28"/>
                              <w:szCs w:val="28"/>
                            </w:rPr>
                            <w:fldChar w:fldCharType="begin"/>
                          </w:r>
                          <w:r>
                            <w:rPr>
                              <w:rStyle w:val="7"/>
                              <w:rFonts w:hint="eastAsia" w:ascii="仿宋_GB2312" w:hAnsi="仿宋_GB2312" w:eastAsia="仿宋_GB2312" w:cs="仿宋_GB2312"/>
                              <w:sz w:val="28"/>
                              <w:szCs w:val="28"/>
                            </w:rPr>
                            <w:instrText xml:space="preserve">PAGE  </w:instrText>
                          </w:r>
                          <w:r>
                            <w:rPr>
                              <w:rStyle w:val="7"/>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2</w:t>
                          </w:r>
                          <w:r>
                            <w:rPr>
                              <w:rStyle w:val="7"/>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Style w:val="7"/>
                        <w:sz w:val="24"/>
                        <w:szCs w:val="24"/>
                      </w:rPr>
                    </w:pPr>
                    <w:r>
                      <w:rPr>
                        <w:rStyle w:val="7"/>
                        <w:rFonts w:hint="eastAsia" w:ascii="仿宋_GB2312" w:hAnsi="仿宋_GB2312" w:eastAsia="仿宋_GB2312" w:cs="仿宋_GB2312"/>
                        <w:sz w:val="28"/>
                        <w:szCs w:val="28"/>
                      </w:rPr>
                      <w:fldChar w:fldCharType="begin"/>
                    </w:r>
                    <w:r>
                      <w:rPr>
                        <w:rStyle w:val="7"/>
                        <w:rFonts w:hint="eastAsia" w:ascii="仿宋_GB2312" w:hAnsi="仿宋_GB2312" w:eastAsia="仿宋_GB2312" w:cs="仿宋_GB2312"/>
                        <w:sz w:val="28"/>
                        <w:szCs w:val="28"/>
                      </w:rPr>
                      <w:instrText xml:space="preserve">PAGE  </w:instrText>
                    </w:r>
                    <w:r>
                      <w:rPr>
                        <w:rStyle w:val="7"/>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2</w:t>
                    </w:r>
                    <w:r>
                      <w:rPr>
                        <w:rStyle w:val="7"/>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TIwNDZjZjEwNWFhYjBkMWJiZDZlMzY2ZDgzOWUifQ=="/>
  </w:docVars>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55CD4"/>
    <w:rsid w:val="00266E39"/>
    <w:rsid w:val="00285201"/>
    <w:rsid w:val="002B4B50"/>
    <w:rsid w:val="002E550F"/>
    <w:rsid w:val="0031342C"/>
    <w:rsid w:val="003139C9"/>
    <w:rsid w:val="00322979"/>
    <w:rsid w:val="00323C72"/>
    <w:rsid w:val="00343F94"/>
    <w:rsid w:val="003646E6"/>
    <w:rsid w:val="00371B62"/>
    <w:rsid w:val="00371BC9"/>
    <w:rsid w:val="003A4455"/>
    <w:rsid w:val="003A4970"/>
    <w:rsid w:val="003C07B1"/>
    <w:rsid w:val="003E21A4"/>
    <w:rsid w:val="003E2D5B"/>
    <w:rsid w:val="0042253D"/>
    <w:rsid w:val="004250FC"/>
    <w:rsid w:val="00454A21"/>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D584E"/>
    <w:rsid w:val="005E5236"/>
    <w:rsid w:val="005F2417"/>
    <w:rsid w:val="005F2DA3"/>
    <w:rsid w:val="00611AA9"/>
    <w:rsid w:val="00640514"/>
    <w:rsid w:val="00641243"/>
    <w:rsid w:val="00643004"/>
    <w:rsid w:val="00653B9E"/>
    <w:rsid w:val="0067255B"/>
    <w:rsid w:val="006A497D"/>
    <w:rsid w:val="006B41A1"/>
    <w:rsid w:val="006C4305"/>
    <w:rsid w:val="006D5592"/>
    <w:rsid w:val="00737A27"/>
    <w:rsid w:val="007529D0"/>
    <w:rsid w:val="00753C16"/>
    <w:rsid w:val="007A00E8"/>
    <w:rsid w:val="007A6ED2"/>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032E7"/>
    <w:rsid w:val="0095324A"/>
    <w:rsid w:val="00953C23"/>
    <w:rsid w:val="0096127B"/>
    <w:rsid w:val="00993FFC"/>
    <w:rsid w:val="009B2113"/>
    <w:rsid w:val="009D0EC6"/>
    <w:rsid w:val="009D330A"/>
    <w:rsid w:val="009D58A7"/>
    <w:rsid w:val="00A04FAE"/>
    <w:rsid w:val="00A239B3"/>
    <w:rsid w:val="00A25D6E"/>
    <w:rsid w:val="00A262A5"/>
    <w:rsid w:val="00A3432E"/>
    <w:rsid w:val="00A42EB8"/>
    <w:rsid w:val="00A53E77"/>
    <w:rsid w:val="00A615F1"/>
    <w:rsid w:val="00A81865"/>
    <w:rsid w:val="00A825B5"/>
    <w:rsid w:val="00A83879"/>
    <w:rsid w:val="00AC1350"/>
    <w:rsid w:val="00B007C8"/>
    <w:rsid w:val="00B60721"/>
    <w:rsid w:val="00B6522F"/>
    <w:rsid w:val="00B67A9E"/>
    <w:rsid w:val="00B74CCE"/>
    <w:rsid w:val="00B84681"/>
    <w:rsid w:val="00B92C71"/>
    <w:rsid w:val="00B96D8F"/>
    <w:rsid w:val="00BC5647"/>
    <w:rsid w:val="00BD2BDC"/>
    <w:rsid w:val="00BD58F0"/>
    <w:rsid w:val="00BE6B5B"/>
    <w:rsid w:val="00BE6DF3"/>
    <w:rsid w:val="00C2239E"/>
    <w:rsid w:val="00C51E09"/>
    <w:rsid w:val="00C63BEE"/>
    <w:rsid w:val="00C76A23"/>
    <w:rsid w:val="00C77CA6"/>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0FB59E3"/>
    <w:rsid w:val="023B707E"/>
    <w:rsid w:val="04854D3F"/>
    <w:rsid w:val="05421E6A"/>
    <w:rsid w:val="05507DD6"/>
    <w:rsid w:val="058F5947"/>
    <w:rsid w:val="065C37CF"/>
    <w:rsid w:val="06A737F7"/>
    <w:rsid w:val="07E50765"/>
    <w:rsid w:val="08C900E8"/>
    <w:rsid w:val="0A1D6979"/>
    <w:rsid w:val="0A644950"/>
    <w:rsid w:val="0B6A3473"/>
    <w:rsid w:val="0BFD5916"/>
    <w:rsid w:val="0C2F3FB7"/>
    <w:rsid w:val="0C6D1CBC"/>
    <w:rsid w:val="0CBF4C18"/>
    <w:rsid w:val="0D223807"/>
    <w:rsid w:val="0D2A42AA"/>
    <w:rsid w:val="0E4F2377"/>
    <w:rsid w:val="0FE87689"/>
    <w:rsid w:val="100F0521"/>
    <w:rsid w:val="10801D7D"/>
    <w:rsid w:val="108A76B0"/>
    <w:rsid w:val="10B474E4"/>
    <w:rsid w:val="10D36FA9"/>
    <w:rsid w:val="11202FEF"/>
    <w:rsid w:val="11407D54"/>
    <w:rsid w:val="11843458"/>
    <w:rsid w:val="119B555A"/>
    <w:rsid w:val="11EE5262"/>
    <w:rsid w:val="11F46DEC"/>
    <w:rsid w:val="12CE626F"/>
    <w:rsid w:val="153F5DDE"/>
    <w:rsid w:val="15A7528C"/>
    <w:rsid w:val="16857A11"/>
    <w:rsid w:val="16966C02"/>
    <w:rsid w:val="16F5338F"/>
    <w:rsid w:val="17443F0E"/>
    <w:rsid w:val="17B75B29"/>
    <w:rsid w:val="18792048"/>
    <w:rsid w:val="19C42EC9"/>
    <w:rsid w:val="1A6C6421"/>
    <w:rsid w:val="1AA06A95"/>
    <w:rsid w:val="1AFD464A"/>
    <w:rsid w:val="1B123216"/>
    <w:rsid w:val="1C992150"/>
    <w:rsid w:val="1FDC7CE7"/>
    <w:rsid w:val="20473E39"/>
    <w:rsid w:val="20D240DA"/>
    <w:rsid w:val="2150294C"/>
    <w:rsid w:val="217E1EA4"/>
    <w:rsid w:val="22574D8E"/>
    <w:rsid w:val="23C822D2"/>
    <w:rsid w:val="2430019C"/>
    <w:rsid w:val="245044FF"/>
    <w:rsid w:val="24565B5A"/>
    <w:rsid w:val="25064A6D"/>
    <w:rsid w:val="25E477AD"/>
    <w:rsid w:val="26B80C18"/>
    <w:rsid w:val="274122CF"/>
    <w:rsid w:val="27721E22"/>
    <w:rsid w:val="288B7815"/>
    <w:rsid w:val="293070A0"/>
    <w:rsid w:val="294B0072"/>
    <w:rsid w:val="295A5C1F"/>
    <w:rsid w:val="298B3EE7"/>
    <w:rsid w:val="29EA0F52"/>
    <w:rsid w:val="2A015D93"/>
    <w:rsid w:val="2A4A7DC9"/>
    <w:rsid w:val="2C3946F8"/>
    <w:rsid w:val="2D6B3BDB"/>
    <w:rsid w:val="2DBC2F9C"/>
    <w:rsid w:val="2E9A25A3"/>
    <w:rsid w:val="2F1E47E2"/>
    <w:rsid w:val="2F7931FF"/>
    <w:rsid w:val="301943D9"/>
    <w:rsid w:val="30A51876"/>
    <w:rsid w:val="30C4173A"/>
    <w:rsid w:val="31103480"/>
    <w:rsid w:val="31171224"/>
    <w:rsid w:val="318859F4"/>
    <w:rsid w:val="318B3BEF"/>
    <w:rsid w:val="31BD780B"/>
    <w:rsid w:val="31CF30CF"/>
    <w:rsid w:val="322F23B4"/>
    <w:rsid w:val="3291128D"/>
    <w:rsid w:val="32F223DC"/>
    <w:rsid w:val="34BF19CA"/>
    <w:rsid w:val="36831BFF"/>
    <w:rsid w:val="372B47E3"/>
    <w:rsid w:val="387F1842"/>
    <w:rsid w:val="3A703706"/>
    <w:rsid w:val="3AC63050"/>
    <w:rsid w:val="3B2C0CF4"/>
    <w:rsid w:val="3C33513B"/>
    <w:rsid w:val="3C4E144D"/>
    <w:rsid w:val="3D835FF2"/>
    <w:rsid w:val="3EF0204F"/>
    <w:rsid w:val="3F35581A"/>
    <w:rsid w:val="3FA608F2"/>
    <w:rsid w:val="3FE14323"/>
    <w:rsid w:val="40F22D44"/>
    <w:rsid w:val="41C508C3"/>
    <w:rsid w:val="41CE673B"/>
    <w:rsid w:val="424A7F95"/>
    <w:rsid w:val="435A7243"/>
    <w:rsid w:val="43A45B37"/>
    <w:rsid w:val="43E76E52"/>
    <w:rsid w:val="458A2908"/>
    <w:rsid w:val="460211CD"/>
    <w:rsid w:val="46290CB5"/>
    <w:rsid w:val="491840B5"/>
    <w:rsid w:val="4B11423B"/>
    <w:rsid w:val="4B657C27"/>
    <w:rsid w:val="4C1C5BC9"/>
    <w:rsid w:val="4C72575C"/>
    <w:rsid w:val="4C760D58"/>
    <w:rsid w:val="4CBC10B4"/>
    <w:rsid w:val="4CF573D5"/>
    <w:rsid w:val="4D5F41BB"/>
    <w:rsid w:val="4D6E0056"/>
    <w:rsid w:val="4D7B4D4D"/>
    <w:rsid w:val="4DC46C4F"/>
    <w:rsid w:val="4E4D127C"/>
    <w:rsid w:val="4E745D52"/>
    <w:rsid w:val="4EAF752E"/>
    <w:rsid w:val="4EBC0028"/>
    <w:rsid w:val="4F390F91"/>
    <w:rsid w:val="4F6C6563"/>
    <w:rsid w:val="50407475"/>
    <w:rsid w:val="51785DD7"/>
    <w:rsid w:val="51902AFC"/>
    <w:rsid w:val="539B79C4"/>
    <w:rsid w:val="54662C78"/>
    <w:rsid w:val="551A477F"/>
    <w:rsid w:val="551B5384"/>
    <w:rsid w:val="56231D59"/>
    <w:rsid w:val="56EA0B96"/>
    <w:rsid w:val="573C7E6C"/>
    <w:rsid w:val="579E789F"/>
    <w:rsid w:val="59654A64"/>
    <w:rsid w:val="59A65D94"/>
    <w:rsid w:val="59DF41A2"/>
    <w:rsid w:val="5B9E6337"/>
    <w:rsid w:val="5BC659AE"/>
    <w:rsid w:val="5BCE5033"/>
    <w:rsid w:val="5BE643AE"/>
    <w:rsid w:val="5C271DD9"/>
    <w:rsid w:val="5CE40A81"/>
    <w:rsid w:val="5D887BAC"/>
    <w:rsid w:val="5E1C49D5"/>
    <w:rsid w:val="5E354318"/>
    <w:rsid w:val="5EF70929"/>
    <w:rsid w:val="5F6606C2"/>
    <w:rsid w:val="6039353D"/>
    <w:rsid w:val="604B0306"/>
    <w:rsid w:val="607B1EB6"/>
    <w:rsid w:val="617C70C4"/>
    <w:rsid w:val="6274258B"/>
    <w:rsid w:val="628230B9"/>
    <w:rsid w:val="62E90F3F"/>
    <w:rsid w:val="62F432A6"/>
    <w:rsid w:val="63C630D5"/>
    <w:rsid w:val="64146218"/>
    <w:rsid w:val="64A551F7"/>
    <w:rsid w:val="64D13CB7"/>
    <w:rsid w:val="65113863"/>
    <w:rsid w:val="65B4710F"/>
    <w:rsid w:val="66583E1D"/>
    <w:rsid w:val="66AE71C6"/>
    <w:rsid w:val="67545FB8"/>
    <w:rsid w:val="684C5679"/>
    <w:rsid w:val="6875134A"/>
    <w:rsid w:val="688852EA"/>
    <w:rsid w:val="689F75B6"/>
    <w:rsid w:val="69E551E9"/>
    <w:rsid w:val="6A4A394E"/>
    <w:rsid w:val="6B2C3946"/>
    <w:rsid w:val="6B640033"/>
    <w:rsid w:val="6B8440F5"/>
    <w:rsid w:val="6BA17C8E"/>
    <w:rsid w:val="6D177D87"/>
    <w:rsid w:val="6D513F48"/>
    <w:rsid w:val="6DB14171"/>
    <w:rsid w:val="6E611BD2"/>
    <w:rsid w:val="6FA879D8"/>
    <w:rsid w:val="71243A6C"/>
    <w:rsid w:val="71FD713A"/>
    <w:rsid w:val="727B266A"/>
    <w:rsid w:val="72F73A1E"/>
    <w:rsid w:val="73744A3E"/>
    <w:rsid w:val="73B41F0F"/>
    <w:rsid w:val="75CA4B60"/>
    <w:rsid w:val="764079D7"/>
    <w:rsid w:val="764C26EF"/>
    <w:rsid w:val="76B11875"/>
    <w:rsid w:val="77512454"/>
    <w:rsid w:val="77D45F7E"/>
    <w:rsid w:val="78497724"/>
    <w:rsid w:val="78A540A0"/>
    <w:rsid w:val="78CF147C"/>
    <w:rsid w:val="7A875D77"/>
    <w:rsid w:val="7B1244F5"/>
    <w:rsid w:val="7BA14348"/>
    <w:rsid w:val="7C1B7A3A"/>
    <w:rsid w:val="7C5D2F21"/>
    <w:rsid w:val="7DDC13F6"/>
    <w:rsid w:val="7E0E1941"/>
    <w:rsid w:val="7EAE357E"/>
    <w:rsid w:val="7F1C07C5"/>
    <w:rsid w:val="7FC33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3057</Words>
  <Characters>3462</Characters>
  <Lines>24</Lines>
  <Paragraphs>7</Paragraphs>
  <TotalTime>0</TotalTime>
  <ScaleCrop>false</ScaleCrop>
  <LinksUpToDate>false</LinksUpToDate>
  <CharactersWithSpaces>3475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2023-03-12T03:39:26Z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52693A54F93841FA9B20371B2AC254EF</vt:lpwstr>
  </property>
</Properties>
</file>