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jc w:val="center"/>
        <w:rPr>
          <w:rFonts w:ascii="黑体" w:eastAsia="黑体"/>
          <w:b/>
          <w:sz w:val="52"/>
          <w:szCs w:val="52"/>
        </w:rPr>
      </w:pPr>
    </w:p>
    <w:p>
      <w:pPr>
        <w:spacing w:line="560" w:lineRule="exact"/>
        <w:ind w:firstLine="880" w:firstLineChars="200"/>
        <w:jc w:val="center"/>
        <w:rPr>
          <w:rFonts w:ascii="方正小标宋简体" w:eastAsia="方正小标宋简体"/>
          <w:sz w:val="44"/>
          <w:szCs w:val="44"/>
        </w:rPr>
      </w:pPr>
    </w:p>
    <w:p>
      <w:pPr>
        <w:spacing w:line="56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察隅县电视台2023年度部门预算</w:t>
      </w: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ind w:firstLine="880" w:firstLineChars="200"/>
        <w:rPr>
          <w:sz w:val="44"/>
          <w:szCs w:val="44"/>
        </w:rPr>
      </w:pPr>
    </w:p>
    <w:p>
      <w:pPr>
        <w:spacing w:line="560" w:lineRule="exact"/>
        <w:rPr>
          <w:sz w:val="44"/>
          <w:szCs w:val="44"/>
        </w:rPr>
      </w:pPr>
    </w:p>
    <w:p>
      <w:pPr>
        <w:spacing w:line="560" w:lineRule="exact"/>
        <w:ind w:firstLine="640" w:firstLineChars="200"/>
        <w:jc w:val="center"/>
        <w:rPr>
          <w:rFonts w:ascii="FangSong_GB2312" w:hAnsi="宋体" w:eastAsia="FangSong_GB2312"/>
          <w:sz w:val="32"/>
          <w:szCs w:val="32"/>
        </w:rPr>
      </w:pPr>
      <w:r>
        <w:rPr>
          <w:rFonts w:hint="eastAsia" w:ascii="FangSong_GB2312" w:hAnsi="宋体" w:eastAsia="FangSong_GB2312"/>
          <w:sz w:val="32"/>
          <w:szCs w:val="32"/>
        </w:rPr>
        <w:t>2023年02月1</w:t>
      </w:r>
      <w:r>
        <w:rPr>
          <w:rFonts w:hint="eastAsia" w:ascii="FangSong_GB2312" w:hAnsi="宋体" w:eastAsia="FangSong_GB2312"/>
          <w:sz w:val="32"/>
          <w:szCs w:val="32"/>
          <w:lang w:val="en-US" w:eastAsia="zh-CN"/>
        </w:rPr>
        <w:t>6</w:t>
      </w:r>
      <w:r>
        <w:rPr>
          <w:rFonts w:hint="eastAsia" w:ascii="FangSong_GB2312" w:hAnsi="宋体" w:eastAsia="FangSong_GB2312"/>
          <w:sz w:val="32"/>
          <w:szCs w:val="32"/>
        </w:rPr>
        <w:t>日</w:t>
      </w:r>
    </w:p>
    <w:p>
      <w:pPr>
        <w:spacing w:line="560" w:lineRule="exact"/>
        <w:ind w:firstLine="839" w:firstLineChars="200"/>
        <w:jc w:val="center"/>
        <w:rPr>
          <w:rFonts w:ascii="黑体" w:hAnsi="黑体" w:eastAsia="黑体"/>
          <w:b/>
          <w:snapToGrid w:val="0"/>
          <w:w w:val="95"/>
          <w:sz w:val="44"/>
          <w:szCs w:val="44"/>
        </w:rPr>
      </w:pPr>
    </w:p>
    <w:p>
      <w:pPr>
        <w:spacing w:line="560" w:lineRule="exact"/>
        <w:ind w:firstLine="839" w:firstLineChars="200"/>
        <w:jc w:val="center"/>
        <w:rPr>
          <w:rFonts w:ascii="黑体" w:hAnsi="黑体" w:eastAsia="黑体"/>
          <w:b/>
          <w:snapToGrid w:val="0"/>
          <w:w w:val="95"/>
          <w:sz w:val="44"/>
          <w:szCs w:val="44"/>
        </w:rPr>
      </w:pPr>
      <w:bookmarkStart w:id="0" w:name="_GoBack"/>
      <w:bookmarkEnd w:id="0"/>
    </w:p>
    <w:p>
      <w:pPr>
        <w:spacing w:line="440" w:lineRule="exact"/>
        <w:jc w:val="center"/>
        <w:rPr>
          <w:rFonts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目    录</w:t>
      </w:r>
    </w:p>
    <w:p>
      <w:pPr>
        <w:spacing w:after="0" w:line="440" w:lineRule="exact"/>
        <w:ind w:firstLine="640" w:firstLineChars="200"/>
        <w:rPr>
          <w:rFonts w:ascii="黑体" w:hAnsi="黑体" w:eastAsia="黑体"/>
          <w:sz w:val="32"/>
          <w:szCs w:val="32"/>
        </w:rPr>
      </w:pPr>
    </w:p>
    <w:p>
      <w:pPr>
        <w:spacing w:after="0" w:line="560" w:lineRule="exact"/>
        <w:rPr>
          <w:rFonts w:ascii="黑体" w:hAnsi="黑体" w:eastAsia="黑体"/>
          <w:sz w:val="32"/>
          <w:szCs w:val="32"/>
        </w:rPr>
      </w:pPr>
      <w:r>
        <w:rPr>
          <w:rFonts w:hint="eastAsia" w:ascii="黑体" w:hAnsi="黑体" w:eastAsia="黑体"/>
          <w:sz w:val="32"/>
          <w:szCs w:val="32"/>
        </w:rPr>
        <w:t>第一部分  部门概况</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after="0" w:line="560" w:lineRule="exact"/>
        <w:rPr>
          <w:rFonts w:ascii="黑体" w:hAnsi="黑体" w:eastAsia="黑体"/>
          <w:sz w:val="32"/>
          <w:szCs w:val="32"/>
        </w:rPr>
      </w:pPr>
      <w:r>
        <w:rPr>
          <w:rFonts w:hint="eastAsia" w:ascii="黑体" w:hAnsi="黑体" w:eastAsia="黑体"/>
          <w:sz w:val="32"/>
          <w:szCs w:val="32"/>
        </w:rPr>
        <w:t>第二部分  部门2023年度部门预算明细表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五、一般公共预算支出情况表（按功能分类项级科目）</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六、一般公共预算基本支出情况表（按经济分类款级科目）</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八、政府性基金“三公”经费支出情况表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九、政府性基金预算支出情况表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十、项目支出绩效信息表</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十一、政府购买服务预算表</w:t>
      </w:r>
    </w:p>
    <w:p>
      <w:pPr>
        <w:spacing w:after="0" w:line="560" w:lineRule="exact"/>
        <w:rPr>
          <w:rFonts w:ascii="黑体" w:hAnsi="黑体" w:eastAsia="黑体"/>
          <w:sz w:val="32"/>
          <w:szCs w:val="32"/>
        </w:rPr>
      </w:pPr>
      <w:r>
        <w:rPr>
          <w:rFonts w:hint="eastAsia" w:ascii="黑体" w:hAnsi="黑体" w:eastAsia="黑体"/>
          <w:sz w:val="32"/>
          <w:szCs w:val="32"/>
        </w:rPr>
        <w:t>第三部分  部门2023年度部门预算数据分析</w:t>
      </w:r>
    </w:p>
    <w:p>
      <w:pPr>
        <w:spacing w:after="0" w:line="560" w:lineRule="exact"/>
        <w:rPr>
          <w:rFonts w:ascii="黑体" w:hAnsi="黑体" w:eastAsia="黑体"/>
          <w:sz w:val="32"/>
          <w:szCs w:val="32"/>
        </w:rPr>
      </w:pPr>
      <w:r>
        <w:rPr>
          <w:rFonts w:hint="eastAsia" w:ascii="黑体" w:hAnsi="黑体" w:eastAsia="黑体"/>
          <w:sz w:val="32"/>
          <w:szCs w:val="32"/>
        </w:rPr>
        <w:t>第四部分  名词解释</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after="0"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察隅县电视台（部门）2023年度部门预算明细表（含十一张表）</w:t>
      </w:r>
    </w:p>
    <w:p>
      <w:pPr>
        <w:spacing w:after="0" w:line="560" w:lineRule="exact"/>
        <w:rPr>
          <w:rFonts w:hint="eastAsia" w:ascii="仿宋_GB2312" w:hAnsi="仿宋_GB2312" w:eastAsia="仿宋_GB2312" w:cs="仿宋_GB2312"/>
          <w:sz w:val="32"/>
          <w:szCs w:val="32"/>
        </w:rPr>
      </w:pPr>
    </w:p>
    <w:p>
      <w:pPr>
        <w:spacing w:line="560" w:lineRule="exact"/>
        <w:ind w:firstLine="640" w:firstLineChars="200"/>
        <w:rPr>
          <w:rFonts w:ascii="仿宋" w:hAnsi="仿宋" w:eastAsia="仿宋"/>
          <w:sz w:val="32"/>
          <w:szCs w:val="32"/>
        </w:rPr>
      </w:pPr>
    </w:p>
    <w:p>
      <w:pPr>
        <w:numPr>
          <w:numId w:val="0"/>
        </w:numPr>
        <w:spacing w:after="0" w:line="560" w:lineRule="exact"/>
        <w:jc w:val="both"/>
        <w:rPr>
          <w:rFonts w:ascii="方正小标宋简体" w:hAnsi="黑体" w:eastAsia="方正小标宋简体"/>
          <w:snapToGrid w:val="0"/>
          <w:w w:val="95"/>
          <w:sz w:val="44"/>
          <w:szCs w:val="44"/>
        </w:rPr>
        <w:sectPr>
          <w:headerReference r:id="rId3" w:type="default"/>
          <w:headerReference r:id="rId4" w:type="even"/>
          <w:pgSz w:w="11906" w:h="16838"/>
          <w:pgMar w:top="1440" w:right="1800" w:bottom="1440" w:left="1800" w:header="708" w:footer="708" w:gutter="0"/>
          <w:cols w:space="708" w:num="1"/>
          <w:docGrid w:linePitch="360" w:charSpace="0"/>
        </w:sectPr>
      </w:pPr>
    </w:p>
    <w:p>
      <w:pPr>
        <w:numPr>
          <w:ilvl w:val="0"/>
          <w:numId w:val="1"/>
        </w:numPr>
        <w:spacing w:after="0" w:line="560" w:lineRule="exact"/>
        <w:ind w:firstLine="836" w:firstLineChars="200"/>
        <w:jc w:val="center"/>
        <w:rPr>
          <w:rFonts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 xml:space="preserve">  察隅县电视台概况</w:t>
      </w:r>
    </w:p>
    <w:p>
      <w:pPr>
        <w:spacing w:after="0" w:line="560" w:lineRule="exact"/>
        <w:ind w:firstLine="640" w:firstLineChars="200"/>
        <w:rPr>
          <w:rFonts w:ascii="黑体" w:hAnsi="黑体" w:eastAsia="黑体"/>
          <w:sz w:val="32"/>
          <w:szCs w:val="32"/>
        </w:rPr>
      </w:pP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一、主要职能</w:t>
      </w:r>
    </w:p>
    <w:p>
      <w:pPr>
        <w:spacing w:after="0" w:line="560" w:lineRule="exact"/>
        <w:ind w:firstLine="640" w:firstLineChars="200"/>
        <w:rPr>
          <w:rFonts w:ascii="KaiTi_GB2312" w:hAnsi="KaiTi_GB2312" w:eastAsia="KaiTi_GB2312" w:cs="KaiTi_GB2312"/>
          <w:sz w:val="32"/>
          <w:szCs w:val="32"/>
        </w:rPr>
      </w:pPr>
      <w:r>
        <w:rPr>
          <w:rFonts w:hint="eastAsia" w:ascii="KaiTi_GB2312" w:hAnsi="KaiTi_GB2312" w:eastAsia="KaiTi_GB2312" w:cs="KaiTi_GB2312"/>
          <w:sz w:val="32"/>
          <w:szCs w:val="32"/>
        </w:rPr>
        <w:t>（一）部门职责</w:t>
      </w:r>
    </w:p>
    <w:p>
      <w:pPr>
        <w:spacing w:after="0" w:line="560" w:lineRule="exact"/>
        <w:ind w:firstLine="640" w:firstLineChars="200"/>
        <w:rPr>
          <w:rFonts w:hint="eastAsia" w:ascii="仿宋_GB2312" w:hAnsi="仿宋_GB2312" w:eastAsia="仿宋_GB2312" w:cs="仿宋_GB2312"/>
          <w:sz w:val="32"/>
          <w:shd w:val="solid" w:color="FFFFFF" w:fill="auto"/>
        </w:rPr>
      </w:pPr>
      <w:r>
        <w:rPr>
          <w:rFonts w:hint="eastAsia" w:ascii="仿宋_GB2312" w:hAnsi="仿宋_GB2312" w:eastAsia="仿宋_GB2312" w:cs="仿宋_GB2312"/>
          <w:sz w:val="32"/>
        </w:rPr>
        <w:t>1.贯彻落实党和国家关于电视插播的政策方针；负责对互联网站、宽带小区等擅自开展网上传播广播电影电视类节目业务等不法行为进行专项治理。</w:t>
      </w:r>
      <w:r>
        <w:rPr>
          <w:rFonts w:hint="eastAsia" w:ascii="仿宋_GB2312" w:hAnsi="仿宋_GB2312" w:eastAsia="仿宋_GB2312" w:cs="仿宋_GB2312"/>
          <w:sz w:val="32"/>
          <w:shd w:val="solid" w:color="FFFFFF" w:fill="auto"/>
        </w:rPr>
        <w:t>监督管理广播电视节目、卫星电视节目收录和通过互联网等信息网络向公众传播的视听节目；负责境外电视频道的监播管理；指配广播电视频率（频道）和功率等技术参数。</w:t>
      </w:r>
    </w:p>
    <w:p>
      <w:pPr>
        <w:spacing w:after="0"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hd w:val="solid" w:color="FFFFFF" w:fill="auto"/>
        </w:rPr>
        <w:t>2.</w:t>
      </w:r>
      <w:r>
        <w:rPr>
          <w:rFonts w:hint="eastAsia" w:ascii="仿宋_GB2312" w:hAnsi="仿宋_GB2312" w:eastAsia="仿宋_GB2312" w:cs="仿宋_GB2312"/>
          <w:sz w:val="32"/>
        </w:rPr>
        <w:t>贯彻执行党和国家关于广播宣传工作的方针、政策和法律法规；负责采用现代科技成果，改进和完善广播宣传的技术手段，提高技术装备水平，提高节目质量；负责电台广播网建设和维护；负责采编播放等设备的管理、使用、维护。</w:t>
      </w:r>
    </w:p>
    <w:p>
      <w:pPr>
        <w:spacing w:after="0" w:line="560" w:lineRule="exact"/>
        <w:ind w:firstLine="640" w:firstLineChars="200"/>
        <w:rPr>
          <w:rFonts w:ascii="KaiTi_GB2312" w:hAnsi="KaiTi_GB2312" w:eastAsia="KaiTi_GB2312" w:cs="KaiTi_GB2312"/>
          <w:bCs/>
          <w:sz w:val="32"/>
          <w:szCs w:val="32"/>
        </w:rPr>
      </w:pPr>
      <w:r>
        <w:rPr>
          <w:rFonts w:hint="eastAsia" w:ascii="KaiTi_GB2312" w:hAnsi="KaiTi_GB2312" w:eastAsia="KaiTi_GB2312" w:cs="KaiTi_GB2312"/>
          <w:bCs/>
          <w:sz w:val="32"/>
          <w:szCs w:val="32"/>
        </w:rPr>
        <w:t>（二）部门机构设置</w:t>
      </w:r>
    </w:p>
    <w:p>
      <w:pPr>
        <w:spacing w:after="0"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部门内设机构1个察隅县电视台。</w:t>
      </w:r>
    </w:p>
    <w:p>
      <w:pPr>
        <w:spacing w:after="0" w:line="560" w:lineRule="exact"/>
        <w:ind w:firstLine="640" w:firstLineChars="200"/>
        <w:rPr>
          <w:rFonts w:ascii="黑体" w:hAnsi="黑体" w:eastAsia="黑体"/>
          <w:sz w:val="32"/>
          <w:szCs w:val="32"/>
        </w:rPr>
      </w:pPr>
      <w:r>
        <w:rPr>
          <w:rFonts w:hint="eastAsia" w:ascii="黑体" w:hAnsi="黑体" w:eastAsia="黑体"/>
          <w:sz w:val="32"/>
          <w:szCs w:val="32"/>
        </w:rPr>
        <w:t>二、部门预算单位构成</w:t>
      </w:r>
    </w:p>
    <w:p>
      <w:pPr>
        <w:spacing w:after="0"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察隅县广播电视台（察隅县融媒体中心）</w:t>
      </w:r>
      <w:r>
        <w:rPr>
          <w:rFonts w:hint="eastAsia" w:ascii="仿宋_GB2312" w:hAnsi="仿宋_GB2312" w:eastAsia="仿宋_GB2312" w:cs="仿宋_GB2312"/>
          <w:sz w:val="32"/>
          <w:lang w:eastAsia="zh-CN"/>
        </w:rPr>
        <w:t>。</w:t>
      </w:r>
    </w:p>
    <w:p>
      <w:pPr>
        <w:spacing w:after="0" w:line="560" w:lineRule="exact"/>
        <w:jc w:val="both"/>
        <w:rPr>
          <w:rFonts w:ascii="方正小标宋简体" w:hAnsi="黑体" w:eastAsia="方正小标宋简体"/>
          <w:snapToGrid w:val="0"/>
          <w:w w:val="95"/>
          <w:sz w:val="44"/>
          <w:szCs w:val="44"/>
        </w:rPr>
      </w:pPr>
    </w:p>
    <w:p>
      <w:pPr>
        <w:spacing w:after="0" w:line="560" w:lineRule="exact"/>
        <w:ind w:left="440" w:leftChars="200"/>
        <w:jc w:val="center"/>
        <w:rPr>
          <w:rFonts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第二部分  察隅县电视台2023年度部门预算明细表（详见附件）</w:t>
      </w:r>
    </w:p>
    <w:p>
      <w:pPr>
        <w:spacing w:line="560" w:lineRule="exact"/>
        <w:ind w:firstLine="440" w:firstLineChars="200"/>
      </w:pPr>
    </w:p>
    <w:p>
      <w:pPr>
        <w:spacing w:after="0" w:line="560" w:lineRule="exact"/>
        <w:jc w:val="center"/>
        <w:rPr>
          <w:rFonts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第三部分  察隅县电视台2023年度部门预算数据分析</w:t>
      </w:r>
    </w:p>
    <w:p>
      <w:pPr>
        <w:spacing w:line="560" w:lineRule="exact"/>
        <w:ind w:firstLine="839" w:firstLineChars="200"/>
        <w:jc w:val="center"/>
        <w:rPr>
          <w:rFonts w:ascii="黑体" w:hAnsi="黑体" w:eastAsia="黑体"/>
          <w:b/>
          <w:snapToGrid w:val="0"/>
          <w:w w:val="95"/>
          <w:sz w:val="44"/>
          <w:szCs w:val="44"/>
        </w:rPr>
      </w:pP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一、2023年部门收支总表的说明</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2023年收支总预算580.99万元。收入包括：一般公共预算拨款收入572.19万元，上年结转8.79万元；支出包括：文化旅游体育与传媒支出、社会保障和就业支出、卫生健康支出、住房保障支出。</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二、2023年度部门收入总表的说明</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收入预算580.99万元，其中：一般公共预算拨款收入572.19万元，占98.49%，比2022年增长0.8%，主要原因是本年工资福利增加，人员经费大幅增长。</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三、2023年部门支出总表的说明</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2023年支出预算580.99万元，其中：基本支出 509.51万元，占87.7%，主要用于人员经费；项目支出  71.48万元，占12.3%，主要用于融媒体app及电视节目等制作费。</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四、2023年财政拨款收支总表的说明</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2023年财政拨款收支总预算580.99 万元。收入为一般公共预算拨款，包括：一般公共预算拨款收入580.99万元；支出包括：文化旅游体育与传媒支出504.41万元、社会保障和就业支出33.19万元、卫生健康支出19.41万元、住房保障支出23.98万元。</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五、2023年一般公共预算支出表的说明</w:t>
      </w:r>
    </w:p>
    <w:p>
      <w:pPr>
        <w:spacing w:after="0" w:line="56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（一）一般公共预算当年拨款规模变化情况。</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2023年一般公共预算当年拨款580.99万元,比2023 年执行数增加4.67万元，主要原因是本年度项目人员经费增加。</w:t>
      </w:r>
    </w:p>
    <w:p>
      <w:pPr>
        <w:spacing w:after="0" w:line="56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（二）一般公共预算拨款结构情况。</w:t>
      </w:r>
    </w:p>
    <w:p>
      <w:pPr>
        <w:spacing w:after="0" w:line="560" w:lineRule="exact"/>
        <w:ind w:firstLine="640" w:firstLineChars="200"/>
        <w:jc w:val="both"/>
        <w:rPr>
          <w:rFonts w:ascii="FangSong_GB2312" w:hAnsi="仿宋" w:eastAsia="FangSong_GB2312"/>
          <w:sz w:val="32"/>
          <w:szCs w:val="32"/>
        </w:rPr>
      </w:pPr>
      <w:r>
        <w:rPr>
          <w:rFonts w:hint="eastAsia" w:ascii="仿宋_GB2312" w:hAnsi="仿宋_GB2312" w:eastAsia="仿宋_GB2312" w:cs="仿宋_GB2312"/>
          <w:sz w:val="32"/>
          <w:szCs w:val="32"/>
        </w:rPr>
        <w:t>一般公共预算支出580.99万元，其中：基本支出509.51万元，占87.7%；项目支出71.48万元，12.3%。</w:t>
      </w:r>
    </w:p>
    <w:p>
      <w:pPr>
        <w:spacing w:after="0" w:line="560" w:lineRule="exact"/>
        <w:ind w:firstLine="480" w:firstLineChars="150"/>
        <w:jc w:val="both"/>
        <w:rPr>
          <w:rFonts w:ascii="KaiTi_GB2312" w:hAnsi="KaiTi_GB2312" w:eastAsia="KaiTi_GB2312" w:cs="KaiTi_GB2312"/>
          <w:sz w:val="32"/>
          <w:szCs w:val="32"/>
        </w:rPr>
      </w:pPr>
      <w:r>
        <w:rPr>
          <w:rFonts w:ascii="KaiTi_GB2312" w:hAnsi="KaiTi_GB2312" w:eastAsia="KaiTi_GB2312" w:cs="KaiTi_GB2312"/>
          <w:sz w:val="32"/>
          <w:szCs w:val="32"/>
        </w:rPr>
        <w:t>（三）2023年一般公共预算支出表的说明</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文化旅游体育与传媒支出（类）广播电视（款）行政运行（项）2023年预算数为432.93万元，比2022年执行数增加90.32万元，增长 26.58 %，主要是奖金、津贴补贴、基本工资、休假探亲费、公用经费。原因是公用经费和人员经费增加。</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文化旅游体育与传媒支出（类）广播电视（款）一般行政管理事务（项）2023年预算数为41.69 万元，比2022年执行数减少171.52万元，减少80.41 %，主要融媒体APP运维费，电视节目制作费等。原因：本年度本单位项目实际需求减少。</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文化旅游体育与传媒支出（类）其他文化旅游体育与传媒支出（款）其他文化旅游体育与传媒支出（项）2023年预算数8.79万元，2022年无此项预算。</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社会保障和就业支出（类）行政事业单位养老支出（款）机关事业单位基本养老保险缴费支出（项）2023年预算数31.96万元，比2022年执行数增加2.43万元，增长8.23%。原因:本年度人员增加导致。</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社会保障和就业支出（类）财政对其他社会保险基金的补助（款）财政对失业保险基金的补助（项）2023年预算数1.01万元，比2022年执行数增长0.09万元，增长9.78%。原因:本年度人员增加导致。</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社会保障和就业支出（类）财政对其他社会保险基金的补助（款）财政对工伤保险基金的补助（项）2023年预算数0.22万元，比2022年执行数减少0.52万元，下降7.03%。原因：社保基数调整。</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卫生健康支出（类）行政事业单位医疗（款）公务员医疗补助（项）2023年预算数4.01万元，比2022年执行数减少1.53万元，下降57.62%。原因：社保基数调整。</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卫生健康支出（类）财政对基本医疗保险基金的补助（款）财政对职工基本医疗保险基金的补助（项）2023年预算数15.4万元，比2022年执行数减少0.66万元，下降4.11%。原因：社保基数调整。</w:t>
      </w:r>
    </w:p>
    <w:p>
      <w:pPr>
        <w:spacing w:after="0" w:line="560" w:lineRule="exact"/>
        <w:ind w:firstLine="640" w:firstLineChars="200"/>
        <w:jc w:val="both"/>
        <w:rPr>
          <w:rFonts w:hint="eastAsia" w:ascii="FangSong_GB2312" w:hAnsi="楷体" w:eastAsia="FangSong_GB2312"/>
          <w:sz w:val="32"/>
          <w:szCs w:val="32"/>
        </w:rPr>
      </w:pPr>
      <w:r>
        <w:rPr>
          <w:rFonts w:hint="eastAsia" w:ascii="仿宋_GB2312" w:hAnsi="仿宋_GB2312" w:eastAsia="仿宋_GB2312" w:cs="仿宋_GB2312"/>
          <w:sz w:val="32"/>
          <w:szCs w:val="32"/>
        </w:rPr>
        <w:t>9. 住房保障支出（类）住房改革支出（款）住房公积金（项）2023年预算数23.98万元，比2022年执行数减少2.18万元，下降8.33%。原因：住房公积金基数调整。</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六、2022年一般公共预算基本支出表的说明</w:t>
      </w:r>
    </w:p>
    <w:p>
      <w:pPr>
        <w:spacing w:after="0" w:line="560" w:lineRule="exact"/>
        <w:ind w:firstLine="640" w:firstLineChars="200"/>
        <w:jc w:val="both"/>
        <w:rPr>
          <w:rFonts w:ascii="FangSong_GB2312" w:hAnsi="仿宋" w:eastAsia="FangSong_GB2312"/>
          <w:sz w:val="32"/>
          <w:szCs w:val="32"/>
        </w:rPr>
      </w:pPr>
      <w:r>
        <w:rPr>
          <w:rFonts w:hint="eastAsia" w:ascii="仿宋_GB2312" w:hAnsi="仿宋_GB2312" w:eastAsia="仿宋_GB2312" w:cs="仿宋_GB2312"/>
          <w:sz w:val="32"/>
          <w:szCs w:val="32"/>
        </w:rPr>
        <w:t>一般公共预算基本支出主要由两部分组成：人员经费支出和公用经费支出。2023年一般公共预算基本支出509.51万元，其中：</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人员经费478.31万元，主要包括：工资性支出（基本工资、津贴补贴、奖金、机关事业单位养老保险缴费、职工基本医疗保险缴费、公务员医疗补助、其他社会保险缴费、其他工资福利支出、住房公积金）。</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公用经费31.2万元，主要包括：商品和服务支出（办公费、印刷费、水费、电费、邮电费、取暖费、差旅费、维修(护)费、会议费、培训费、公务接待费、公务用车运行维护费、其他商品和服务支出）。</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七、2023年度一般公共预算“三公”经费预算情况说明</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2023年“三公”经费预算数为</w:t>
      </w:r>
      <w:r>
        <w:rPr>
          <w:rFonts w:hint="eastAsia" w:ascii="仿宋_GB2312" w:hAnsi="仿宋_GB2312" w:eastAsia="仿宋_GB2312" w:cs="仿宋_GB2312"/>
          <w:sz w:val="32"/>
          <w:szCs w:val="32"/>
        </w:rPr>
        <w:t>6.63万元，较</w:t>
      </w:r>
      <w:r>
        <w:rPr>
          <w:rFonts w:hint="eastAsia" w:ascii="仿宋_GB2312" w:hAnsi="仿宋_GB2312" w:eastAsia="仿宋_GB2312" w:cs="仿宋_GB2312"/>
          <w:sz w:val="32"/>
          <w:szCs w:val="32"/>
        </w:rPr>
        <w:t>2022年增加0.58万元，增长10.74%。</w:t>
      </w:r>
    </w:p>
    <w:p>
      <w:pPr>
        <w:spacing w:after="0" w:line="560" w:lineRule="exact"/>
        <w:ind w:firstLine="608"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仿宋_GB2312" w:eastAsia="仿宋_GB2312" w:cs="仿宋_GB2312"/>
          <w:sz w:val="32"/>
          <w:szCs w:val="32"/>
        </w:rPr>
        <w:t>2023年预算数为0万元。为进一步规范因公出国（境）费用管理，我县因公出国（境）费用按照零基预算原则，因此因公出国（境）费用预算为零。</w:t>
      </w:r>
    </w:p>
    <w:p>
      <w:pPr>
        <w:spacing w:after="0" w:line="560" w:lineRule="exact"/>
        <w:ind w:firstLine="608"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仿宋_GB2312" w:eastAsia="仿宋_GB2312" w:cs="仿宋_GB2312"/>
          <w:sz w:val="32"/>
          <w:szCs w:val="32"/>
        </w:rPr>
        <w:t>2023年预算数5.98万元。其中：</w:t>
      </w:r>
    </w:p>
    <w:p>
      <w:pPr>
        <w:spacing w:after="0" w:line="560" w:lineRule="exact"/>
        <w:ind w:firstLine="60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w:t>
      </w:r>
      <w:r>
        <w:rPr>
          <w:rFonts w:hint="eastAsia" w:ascii="仿宋_GB2312" w:hAnsi="仿宋_GB2312" w:eastAsia="仿宋_GB2312" w:cs="仿宋_GB2312"/>
          <w:w w:val="95"/>
          <w:sz w:val="32"/>
          <w:szCs w:val="32"/>
        </w:rPr>
        <w:t>1</w:t>
      </w:r>
      <w:r>
        <w:rPr>
          <w:rFonts w:hint="eastAsia" w:ascii="仿宋_GB2312" w:hAnsi="仿宋_GB2312" w:eastAsia="仿宋_GB2312" w:cs="仿宋_GB2312"/>
          <w:snapToGrid w:val="0"/>
          <w:w w:val="95"/>
          <w:sz w:val="32"/>
          <w:szCs w:val="32"/>
        </w:rPr>
        <w:t>）公务用车购置费。</w:t>
      </w:r>
      <w:r>
        <w:rPr>
          <w:rFonts w:hint="eastAsia" w:ascii="仿宋_GB2312" w:hAnsi="仿宋_GB2312" w:eastAsia="仿宋_GB2312" w:cs="仿宋_GB2312"/>
          <w:sz w:val="32"/>
          <w:szCs w:val="32"/>
        </w:rPr>
        <w:t>2023年公务用车购置费预算数为0万元（公务用车购置严格按照我县车辆管理及厉行节约有关要求实行总额控制），与2022年预算数持平。</w:t>
      </w:r>
    </w:p>
    <w:p>
      <w:pPr>
        <w:spacing w:after="0" w:line="560" w:lineRule="exact"/>
        <w:ind w:firstLine="60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w w:val="95"/>
          <w:sz w:val="32"/>
          <w:szCs w:val="32"/>
        </w:rPr>
        <w:t>（2）公务用车运行费。</w:t>
      </w:r>
      <w:r>
        <w:rPr>
          <w:rFonts w:hint="eastAsia" w:ascii="仿宋_GB2312" w:hAnsi="仿宋_GB2312" w:eastAsia="仿宋_GB2312" w:cs="仿宋_GB2312"/>
          <w:sz w:val="32"/>
          <w:szCs w:val="32"/>
        </w:rPr>
        <w:t>2023年预算数5.98万元。较2022年增加2.38万元，主要原因是本年度项目增加，出行次数增加。单位公务用车实有量1辆，保有量一辆。</w:t>
      </w:r>
    </w:p>
    <w:p>
      <w:pPr>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仿宋_GB2312" w:eastAsia="仿宋_GB2312" w:cs="仿宋_GB2312"/>
          <w:snapToGrid w:val="0"/>
          <w:w w:val="95"/>
          <w:sz w:val="32"/>
          <w:szCs w:val="32"/>
        </w:rPr>
        <w:t>2023年预算数0.65万元，较比2022年减少1.15万元，降低63.89%。我部门按照公务接待相关要求，厉行勤俭节约严格控制不必要的公务接待支出。</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八、2023年度政府性基金预算支出情况说明</w:t>
      </w:r>
    </w:p>
    <w:p>
      <w:pPr>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察隅县电视台2023年度无政府性基金安排的支出。</w:t>
      </w:r>
    </w:p>
    <w:p>
      <w:pPr>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九、其他重要事项的情况说明</w:t>
      </w:r>
    </w:p>
    <w:p>
      <w:pPr>
        <w:spacing w:after="0" w:line="56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（一）机关运行经费安排使用情况说明。</w:t>
      </w:r>
    </w:p>
    <w:p>
      <w:pPr>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2023年察隅县电视台机关运行经费财政拨款预算6.63万元，比2022年预算增加0.58万元，增长10.74%。主要原因是今年人员变动导致经费预算减少。</w:t>
      </w:r>
    </w:p>
    <w:p>
      <w:pPr>
        <w:spacing w:after="0" w:line="56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（二）政府采购情况说明。</w:t>
      </w:r>
    </w:p>
    <w:p>
      <w:pPr>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2023年察隅县电视台政府采购预算总额0万元，其中：政府采购货物预算0万元、政府采购工程预算 0万元、政府采购服务预算0万元。</w:t>
      </w:r>
    </w:p>
    <w:p>
      <w:pPr>
        <w:spacing w:after="0" w:line="56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（三）国有资产占有使用情况说明。</w:t>
      </w:r>
    </w:p>
    <w:p>
      <w:pPr>
        <w:spacing w:after="0" w:line="560" w:lineRule="exact"/>
        <w:ind w:firstLine="608" w:firstLineChars="200"/>
        <w:jc w:val="both"/>
        <w:rPr>
          <w:rFonts w:ascii="FangSong_GB2312" w:hAnsi="仿宋" w:eastAsia="FangSong_GB2312"/>
          <w:sz w:val="32"/>
          <w:szCs w:val="32"/>
        </w:rPr>
      </w:pPr>
      <w:r>
        <w:rPr>
          <w:rFonts w:hint="eastAsia" w:ascii="仿宋_GB2312" w:hAnsi="仿宋_GB2312" w:eastAsia="仿宋_GB2312" w:cs="仿宋_GB2312"/>
          <w:snapToGrid w:val="0"/>
          <w:w w:val="95"/>
          <w:sz w:val="32"/>
          <w:szCs w:val="32"/>
        </w:rPr>
        <w:t>截至2022年12月底，察隅县电视台共有车辆1辆，其中，0辆级领导干部用车（含在职和离退休部级干部用车）0辆、机要通信用车0辆、应急保障用车 0 辆、执法执勤用车0辆、特种专业技术用车0辆、其他用车1辆。</w:t>
      </w:r>
    </w:p>
    <w:p>
      <w:pPr>
        <w:spacing w:after="0" w:line="56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（四）2023年预算绩效目标管理情况。</w:t>
      </w:r>
    </w:p>
    <w:p>
      <w:pPr>
        <w:spacing w:after="0" w:line="560" w:lineRule="exact"/>
        <w:ind w:firstLine="608" w:firstLineChars="200"/>
        <w:jc w:val="both"/>
        <w:rPr>
          <w:rFonts w:ascii="FangSong_GB2312" w:hAnsi="仿宋" w:eastAsia="FangSong_GB2312"/>
          <w:sz w:val="32"/>
          <w:szCs w:val="32"/>
        </w:rPr>
      </w:pPr>
      <w:r>
        <w:rPr>
          <w:rFonts w:hint="eastAsia" w:ascii="仿宋_GB2312" w:hAnsi="仿宋_GB2312" w:eastAsia="仿宋_GB2312" w:cs="仿宋_GB2312"/>
          <w:snapToGrid w:val="0"/>
          <w:w w:val="95"/>
          <w:sz w:val="32"/>
          <w:szCs w:val="32"/>
        </w:rPr>
        <w:t>2023年察隅县电视台实现财政支出绩效目标管理全覆盖，实行绩效目标管理12个（具体见附件表十），资金580.99万元，无政府重大决策和决策部署、影响力大且社会关注度高的项目。</w:t>
      </w:r>
    </w:p>
    <w:p>
      <w:pPr>
        <w:spacing w:after="0" w:line="56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（五）扶贫资金管理使用情况及绩效目标情况说明。</w:t>
      </w:r>
    </w:p>
    <w:p>
      <w:pPr>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2023年度察隅县电视台无扶贫资金预算安排。</w:t>
      </w:r>
    </w:p>
    <w:p>
      <w:pPr>
        <w:spacing w:after="0" w:line="560" w:lineRule="exact"/>
        <w:ind w:firstLine="640" w:firstLineChars="200"/>
        <w:jc w:val="both"/>
        <w:rPr>
          <w:rFonts w:ascii="KaiTi_GB2312" w:hAnsi="KaiTi_GB2312" w:eastAsia="KaiTi_GB2312" w:cs="KaiTi_GB2312"/>
          <w:sz w:val="32"/>
          <w:szCs w:val="32"/>
        </w:rPr>
      </w:pPr>
      <w:r>
        <w:rPr>
          <w:rFonts w:hint="eastAsia" w:ascii="KaiTi_GB2312" w:hAnsi="KaiTi_GB2312" w:eastAsia="KaiTi_GB2312" w:cs="KaiTi_GB2312"/>
          <w:sz w:val="32"/>
          <w:szCs w:val="32"/>
        </w:rPr>
        <w:t>（六）政府债务情况。</w:t>
      </w:r>
    </w:p>
    <w:p>
      <w:pPr>
        <w:spacing w:after="0" w:line="560" w:lineRule="exact"/>
        <w:ind w:firstLine="608" w:firstLineChars="200"/>
        <w:jc w:val="both"/>
        <w:rPr>
          <w:rFonts w:hint="eastAsia"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2023年度察隅县电视台无举借债务情况。</w:t>
      </w:r>
    </w:p>
    <w:p>
      <w:pPr>
        <w:spacing w:after="0" w:line="560" w:lineRule="exact"/>
        <w:ind w:firstLine="836" w:firstLineChars="200"/>
        <w:jc w:val="center"/>
        <w:rPr>
          <w:rFonts w:ascii="方正小标宋简体" w:hAnsi="黑体" w:eastAsia="方正小标宋简体"/>
          <w:snapToGrid w:val="0"/>
          <w:w w:val="95"/>
          <w:sz w:val="44"/>
          <w:szCs w:val="44"/>
        </w:rPr>
      </w:pPr>
    </w:p>
    <w:p>
      <w:pPr>
        <w:spacing w:after="0" w:line="560" w:lineRule="exact"/>
        <w:ind w:firstLine="836" w:firstLineChars="200"/>
        <w:jc w:val="center"/>
        <w:rPr>
          <w:rFonts w:ascii="方正小标宋简体" w:hAnsi="黑体" w:eastAsia="方正小标宋简体"/>
          <w:snapToGrid w:val="0"/>
          <w:w w:val="95"/>
          <w:sz w:val="44"/>
          <w:szCs w:val="44"/>
        </w:rPr>
      </w:pPr>
      <w:r>
        <w:rPr>
          <w:rFonts w:hint="eastAsia" w:ascii="方正小标宋简体" w:hAnsi="黑体" w:eastAsia="方正小标宋简体"/>
          <w:snapToGrid w:val="0"/>
          <w:w w:val="95"/>
          <w:sz w:val="44"/>
          <w:szCs w:val="44"/>
        </w:rPr>
        <w:t>第四部分  名词解释</w:t>
      </w:r>
    </w:p>
    <w:p>
      <w:pPr>
        <w:spacing w:after="0" w:line="560" w:lineRule="exact"/>
        <w:ind w:firstLine="640" w:firstLineChars="200"/>
        <w:jc w:val="both"/>
        <w:rPr>
          <w:rFonts w:ascii="黑体" w:hAnsi="黑体" w:eastAsia="黑体" w:cs="黑体"/>
          <w:sz w:val="32"/>
          <w:szCs w:val="32"/>
        </w:rPr>
      </w:pPr>
    </w:p>
    <w:p>
      <w:pPr>
        <w:spacing w:after="0" w:line="560" w:lineRule="exact"/>
        <w:ind w:firstLine="640" w:firstLineChars="200"/>
        <w:jc w:val="both"/>
        <w:rPr>
          <w:rFonts w:hint="eastAsia" w:ascii="仿宋_GB2312" w:hAnsi="仿宋_GB2312" w:eastAsia="仿宋_GB2312" w:cs="仿宋_GB2312"/>
          <w:snapToGrid w:val="0"/>
          <w:w w:val="95"/>
          <w:sz w:val="32"/>
          <w:szCs w:val="32"/>
        </w:rPr>
      </w:pPr>
      <w:r>
        <w:rPr>
          <w:rFonts w:hint="eastAsia" w:ascii="黑体" w:hAnsi="黑体" w:eastAsia="黑体" w:cs="黑体"/>
          <w:sz w:val="32"/>
          <w:szCs w:val="32"/>
        </w:rPr>
        <w:t>一、一般公共预算拨款收入</w:t>
      </w:r>
      <w:r>
        <w:rPr>
          <w:rFonts w:hint="eastAsia" w:ascii="FangSong_GB2312" w:hAnsi="宋体" w:eastAsia="FangSong_GB2312" w:cs="宋体"/>
          <w:sz w:val="32"/>
          <w:szCs w:val="32"/>
        </w:rPr>
        <w:t>：</w:t>
      </w:r>
      <w:r>
        <w:rPr>
          <w:rFonts w:hint="eastAsia" w:ascii="仿宋_GB2312" w:hAnsi="仿宋_GB2312" w:eastAsia="仿宋_GB2312" w:cs="仿宋_GB2312"/>
          <w:snapToGrid w:val="0"/>
          <w:w w:val="95"/>
          <w:sz w:val="32"/>
          <w:szCs w:val="32"/>
        </w:rPr>
        <w:t>指本级财政当年拨付的资金。</w:t>
      </w:r>
    </w:p>
    <w:p>
      <w:pPr>
        <w:spacing w:after="0" w:line="560" w:lineRule="exact"/>
        <w:ind w:firstLine="640" w:firstLineChars="200"/>
        <w:jc w:val="both"/>
        <w:rPr>
          <w:rFonts w:hint="eastAsia" w:ascii="仿宋_GB2312" w:hAnsi="仿宋_GB2312" w:eastAsia="仿宋_GB2312" w:cs="仿宋_GB2312"/>
          <w:snapToGrid w:val="0"/>
          <w:w w:val="95"/>
          <w:sz w:val="32"/>
          <w:szCs w:val="32"/>
        </w:rPr>
      </w:pPr>
      <w:r>
        <w:rPr>
          <w:rFonts w:hint="eastAsia" w:ascii="黑体" w:hAnsi="黑体" w:eastAsia="黑体"/>
          <w:sz w:val="32"/>
          <w:szCs w:val="32"/>
        </w:rPr>
        <w:t>二、其他收入：</w:t>
      </w:r>
      <w:r>
        <w:rPr>
          <w:rFonts w:hint="eastAsia" w:ascii="仿宋_GB2312" w:hAnsi="仿宋_GB2312" w:eastAsia="仿宋_GB2312" w:cs="仿宋_GB2312"/>
          <w:snapToGrid w:val="0"/>
          <w:w w:val="95"/>
          <w:sz w:val="32"/>
          <w:szCs w:val="32"/>
        </w:rPr>
        <w:t>指除上述“一般公共预算拨款收入”、“事业收入”、“事业单位经营收入”等以外的收入。主要是按规定动用的售房收入、存款利息收入等。</w:t>
      </w:r>
    </w:p>
    <w:p>
      <w:pPr>
        <w:spacing w:after="0" w:line="560" w:lineRule="exact"/>
        <w:ind w:firstLine="640" w:firstLineChars="200"/>
        <w:jc w:val="both"/>
        <w:rPr>
          <w:rFonts w:ascii="仿宋" w:hAnsi="仿宋" w:eastAsia="仿宋"/>
          <w:sz w:val="32"/>
          <w:szCs w:val="32"/>
        </w:rPr>
      </w:pPr>
      <w:r>
        <w:rPr>
          <w:rFonts w:hint="eastAsia" w:ascii="黑体" w:hAnsi="黑体" w:eastAsia="黑体"/>
          <w:sz w:val="32"/>
          <w:szCs w:val="32"/>
        </w:rPr>
        <w:t>三、上年结转：</w:t>
      </w:r>
      <w:r>
        <w:rPr>
          <w:rFonts w:hint="eastAsia" w:ascii="仿宋_GB2312" w:hAnsi="仿宋_GB2312" w:eastAsia="仿宋_GB2312" w:cs="仿宋_GB2312"/>
          <w:snapToGrid w:val="0"/>
          <w:w w:val="95"/>
          <w:sz w:val="32"/>
          <w:szCs w:val="32"/>
        </w:rPr>
        <w:t>指以前年度安排、结转到本年仍按原规定用途继续使用的资金。</w:t>
      </w:r>
    </w:p>
    <w:p>
      <w:pPr>
        <w:spacing w:after="0" w:line="560" w:lineRule="exact"/>
        <w:ind w:firstLine="640" w:firstLineChars="200"/>
        <w:jc w:val="both"/>
        <w:rPr>
          <w:rFonts w:hint="eastAsia" w:ascii="仿宋_GB2312" w:hAnsi="仿宋_GB2312" w:eastAsia="仿宋_GB2312" w:cs="仿宋_GB2312"/>
          <w:snapToGrid w:val="0"/>
          <w:w w:val="95"/>
          <w:sz w:val="32"/>
          <w:szCs w:val="32"/>
        </w:rPr>
      </w:pPr>
      <w:r>
        <w:rPr>
          <w:rFonts w:hint="eastAsia" w:ascii="黑体" w:hAnsi="黑体" w:eastAsia="黑体" w:cs="黑体"/>
          <w:sz w:val="32"/>
          <w:szCs w:val="32"/>
        </w:rPr>
        <w:t>四、一般公共服务支出：</w:t>
      </w:r>
      <w:r>
        <w:rPr>
          <w:rFonts w:hint="eastAsia" w:ascii="仿宋_GB2312" w:hAnsi="仿宋_GB2312" w:eastAsia="仿宋_GB2312" w:cs="仿宋_GB2312"/>
          <w:snapToGrid w:val="0"/>
          <w:w w:val="95"/>
          <w:sz w:val="32"/>
          <w:szCs w:val="32"/>
        </w:rPr>
        <w:t>反应政府提供一般公共服务的支出。</w:t>
      </w:r>
    </w:p>
    <w:p>
      <w:pPr>
        <w:autoSpaceDE w:val="0"/>
        <w:autoSpaceDN w:val="0"/>
        <w:spacing w:after="0" w:line="560" w:lineRule="exact"/>
        <w:ind w:firstLine="640" w:firstLineChars="200"/>
        <w:jc w:val="both"/>
        <w:rPr>
          <w:rFonts w:hint="eastAsia" w:ascii="仿宋_GB2312" w:hAnsi="仿宋_GB2312" w:eastAsia="仿宋_GB2312" w:cs="仿宋_GB2312"/>
          <w:snapToGrid w:val="0"/>
          <w:w w:val="95"/>
          <w:sz w:val="32"/>
          <w:szCs w:val="32"/>
        </w:rPr>
      </w:pPr>
      <w:r>
        <w:rPr>
          <w:rFonts w:hint="eastAsia" w:ascii="黑体" w:hAnsi="黑体" w:eastAsia="黑体"/>
          <w:sz w:val="32"/>
          <w:szCs w:val="32"/>
        </w:rPr>
        <w:t>五</w:t>
      </w:r>
      <w:r>
        <w:rPr>
          <w:rFonts w:ascii="黑体" w:hAnsi="黑体" w:eastAsia="黑体"/>
          <w:sz w:val="32"/>
          <w:szCs w:val="32"/>
        </w:rPr>
        <w:t>、基本</w:t>
      </w:r>
      <w:r>
        <w:rPr>
          <w:rFonts w:hint="eastAsia" w:ascii="黑体" w:hAnsi="黑体" w:eastAsia="黑体"/>
          <w:sz w:val="32"/>
          <w:szCs w:val="32"/>
        </w:rPr>
        <w:t>支出：</w:t>
      </w:r>
      <w:r>
        <w:rPr>
          <w:rFonts w:hint="eastAsia" w:ascii="仿宋_GB2312" w:hAnsi="仿宋_GB2312" w:eastAsia="仿宋_GB2312" w:cs="仿宋_GB2312"/>
          <w:snapToGrid w:val="0"/>
          <w:w w:val="95"/>
          <w:sz w:val="32"/>
          <w:szCs w:val="32"/>
        </w:rPr>
        <w:t>指为保障机构正常运转、完成日常工作任务而发生的人员支出和公用支出。</w:t>
      </w:r>
    </w:p>
    <w:p>
      <w:pPr>
        <w:autoSpaceDE w:val="0"/>
        <w:autoSpaceDN w:val="0"/>
        <w:spacing w:after="0" w:line="560" w:lineRule="exact"/>
        <w:ind w:firstLine="640" w:firstLineChars="200"/>
        <w:jc w:val="both"/>
        <w:rPr>
          <w:rFonts w:ascii="FangSong_GB2312" w:hAnsi="仿宋" w:eastAsia="FangSong_GB2312"/>
          <w:sz w:val="32"/>
          <w:szCs w:val="32"/>
        </w:rPr>
      </w:pPr>
      <w:r>
        <w:rPr>
          <w:rFonts w:hint="eastAsia" w:ascii="黑体" w:hAnsi="黑体" w:eastAsia="黑体"/>
          <w:sz w:val="32"/>
          <w:szCs w:val="32"/>
        </w:rPr>
        <w:t>六</w:t>
      </w:r>
      <w:r>
        <w:rPr>
          <w:rFonts w:ascii="黑体" w:hAnsi="黑体" w:eastAsia="黑体"/>
          <w:sz w:val="32"/>
          <w:szCs w:val="32"/>
        </w:rPr>
        <w:t>、</w:t>
      </w:r>
      <w:r>
        <w:rPr>
          <w:rFonts w:hint="eastAsia" w:ascii="黑体" w:hAnsi="黑体" w:eastAsia="黑体"/>
          <w:sz w:val="32"/>
          <w:szCs w:val="32"/>
        </w:rPr>
        <w:t>项目支出：</w:t>
      </w:r>
      <w:r>
        <w:rPr>
          <w:rFonts w:hint="eastAsia" w:ascii="仿宋_GB2312" w:hAnsi="仿宋_GB2312" w:eastAsia="仿宋_GB2312" w:cs="仿宋_GB2312"/>
          <w:snapToGrid w:val="0"/>
          <w:w w:val="95"/>
          <w:sz w:val="32"/>
          <w:szCs w:val="32"/>
        </w:rPr>
        <w:t>指在基本支出之外为完成特定行政任务或事业发展目标所发生的支出。</w:t>
      </w:r>
    </w:p>
    <w:p>
      <w:pPr>
        <w:autoSpaceDE w:val="0"/>
        <w:autoSpaceDN w:val="0"/>
        <w:spacing w:after="0" w:line="560" w:lineRule="exact"/>
        <w:ind w:firstLine="640" w:firstLineChars="200"/>
        <w:jc w:val="both"/>
        <w:rPr>
          <w:rFonts w:hint="eastAsia" w:ascii="仿宋_GB2312" w:hAnsi="仿宋_GB2312" w:eastAsia="仿宋_GB2312" w:cs="仿宋_GB2312"/>
          <w:snapToGrid w:val="0"/>
          <w:w w:val="95"/>
          <w:sz w:val="32"/>
          <w:szCs w:val="32"/>
        </w:rPr>
      </w:pPr>
      <w:r>
        <w:rPr>
          <w:rFonts w:hint="eastAsia" w:ascii="黑体" w:hAnsi="黑体" w:eastAsia="黑体" w:cs="黑体"/>
          <w:sz w:val="32"/>
          <w:szCs w:val="32"/>
        </w:rPr>
        <w:t>七、住房保障支出：</w:t>
      </w:r>
      <w:r>
        <w:rPr>
          <w:rFonts w:hint="eastAsia" w:ascii="仿宋_GB2312" w:hAnsi="仿宋_GB2312" w:eastAsia="仿宋_GB2312" w:cs="仿宋_GB2312"/>
          <w:snapToGrid w:val="0"/>
          <w:w w:val="95"/>
          <w:sz w:val="32"/>
          <w:szCs w:val="32"/>
        </w:rPr>
        <w:t>集中反映政府用于住房方面的支出。</w:t>
      </w:r>
    </w:p>
    <w:p>
      <w:pPr>
        <w:autoSpaceDE w:val="0"/>
        <w:autoSpaceDN w:val="0"/>
        <w:spacing w:after="0" w:line="560" w:lineRule="exact"/>
        <w:ind w:firstLine="640" w:firstLineChars="200"/>
        <w:jc w:val="both"/>
        <w:rPr>
          <w:rFonts w:hint="eastAsia" w:ascii="仿宋_GB2312" w:hAnsi="仿宋_GB2312" w:eastAsia="仿宋_GB2312" w:cs="仿宋_GB2312"/>
          <w:snapToGrid w:val="0"/>
          <w:w w:val="95"/>
          <w:sz w:val="32"/>
          <w:szCs w:val="32"/>
        </w:rPr>
      </w:pPr>
      <w:r>
        <w:rPr>
          <w:rFonts w:hint="eastAsia" w:ascii="黑体" w:hAnsi="黑体" w:eastAsia="黑体" w:cs="黑体"/>
          <w:sz w:val="32"/>
          <w:szCs w:val="32"/>
        </w:rPr>
        <w:t>八、机关运行</w:t>
      </w:r>
      <w:r>
        <w:rPr>
          <w:rFonts w:hint="eastAsia" w:ascii="黑体" w:hAnsi="黑体" w:eastAsia="黑体"/>
          <w:sz w:val="32"/>
          <w:szCs w:val="32"/>
        </w:rPr>
        <w:t>经费：</w:t>
      </w:r>
      <w:r>
        <w:rPr>
          <w:rFonts w:hint="eastAsia" w:ascii="仿宋_GB2312" w:hAnsi="仿宋_GB2312" w:eastAsia="仿宋_GB2312" w:cs="仿宋_GB2312"/>
          <w:snapToGrid w:val="0"/>
          <w:w w:val="95"/>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after="0" w:line="560" w:lineRule="exact"/>
        <w:ind w:firstLine="640" w:firstLineChars="200"/>
        <w:jc w:val="both"/>
        <w:rPr>
          <w:rFonts w:hint="eastAsia" w:ascii="仿宋_GB2312" w:hAnsi="仿宋_GB2312" w:eastAsia="仿宋_GB2312" w:cs="仿宋_GB2312"/>
          <w:snapToGrid w:val="0"/>
          <w:w w:val="95"/>
          <w:sz w:val="32"/>
          <w:szCs w:val="32"/>
        </w:rPr>
      </w:pPr>
      <w:r>
        <w:rPr>
          <w:rFonts w:hint="eastAsia" w:ascii="黑体" w:hAnsi="黑体" w:eastAsia="黑体" w:cs="黑体"/>
          <w:sz w:val="32"/>
          <w:szCs w:val="32"/>
        </w:rPr>
        <w:t>九、“三公”经费：</w:t>
      </w:r>
      <w:r>
        <w:rPr>
          <w:rFonts w:hint="eastAsia" w:ascii="FangSong_GB2312" w:hAnsi="宋体" w:eastAsia="FangSong_GB2312" w:cs="宋体"/>
          <w:sz w:val="32"/>
          <w:szCs w:val="32"/>
        </w:rPr>
        <w:t>包括因公出国（境）费、公务接待费和公务用车购置及运</w:t>
      </w:r>
      <w:r>
        <w:rPr>
          <w:rFonts w:hint="eastAsia" w:ascii="仿宋_GB2312" w:hAnsi="仿宋_GB2312" w:eastAsia="仿宋_GB2312" w:cs="仿宋_GB2312"/>
          <w:snapToGrid w:val="0"/>
          <w:w w:val="95"/>
          <w:sz w:val="32"/>
          <w:szCs w:val="32"/>
        </w:rPr>
        <w:t>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widowControl w:val="0"/>
        <w:adjustRightInd/>
        <w:snapToGrid/>
        <w:spacing w:after="0" w:line="560" w:lineRule="exact"/>
        <w:ind w:firstLine="640" w:firstLineChars="200"/>
        <w:jc w:val="both"/>
        <w:rPr>
          <w:rFonts w:hint="eastAsia" w:ascii="仿宋_GB2312" w:hAnsi="仿宋_GB2312" w:eastAsia="仿宋_GB2312" w:cs="仿宋_GB2312"/>
          <w:snapToGrid w:val="0"/>
          <w:w w:val="95"/>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重点项目：</w:t>
      </w:r>
      <w:r>
        <w:rPr>
          <w:rFonts w:hint="eastAsia" w:ascii="仿宋_GB2312" w:hAnsi="仿宋_GB2312" w:eastAsia="仿宋_GB2312" w:cs="仿宋_GB2312"/>
          <w:sz w:val="32"/>
          <w:szCs w:val="32"/>
        </w:rPr>
        <w:t>贯彻落实自治区党委、政府重大方针政策和决策部署的项</w:t>
      </w:r>
      <w:r>
        <w:rPr>
          <w:rFonts w:hint="eastAsia" w:ascii="仿宋_GB2312" w:hAnsi="仿宋_GB2312" w:eastAsia="仿宋_GB2312" w:cs="仿宋_GB2312"/>
          <w:snapToGrid w:val="0"/>
          <w:w w:val="95"/>
          <w:sz w:val="32"/>
          <w:szCs w:val="32"/>
        </w:rPr>
        <w:t>目，覆盖面广、影响力大、社会关注度高、实施期长的项目，与本部门职能职责密切相关的项目或预算安排支出相对较大的项目（具体重点项目由各部门结合实际自行确定）。</w:t>
      </w:r>
    </w:p>
    <w:sectPr>
      <w:footerReference r:id="rId5" w:type="default"/>
      <w:pgSz w:w="11906" w:h="16838"/>
      <w:pgMar w:top="1440" w:right="1800" w:bottom="1440" w:left="1800"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9AAB2"/>
    <w:multiLevelType w:val="singleLevel"/>
    <w:tmpl w:val="4669AAB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0637D"/>
    <w:rsid w:val="000068A0"/>
    <w:rsid w:val="000070D5"/>
    <w:rsid w:val="00011D17"/>
    <w:rsid w:val="000131C8"/>
    <w:rsid w:val="000205B6"/>
    <w:rsid w:val="00031E4F"/>
    <w:rsid w:val="00037D38"/>
    <w:rsid w:val="00043B76"/>
    <w:rsid w:val="00052C5E"/>
    <w:rsid w:val="00070080"/>
    <w:rsid w:val="0007728C"/>
    <w:rsid w:val="00083940"/>
    <w:rsid w:val="000924DC"/>
    <w:rsid w:val="00094FAC"/>
    <w:rsid w:val="000B08E5"/>
    <w:rsid w:val="000B7452"/>
    <w:rsid w:val="000C4FC1"/>
    <w:rsid w:val="000F4354"/>
    <w:rsid w:val="001064F5"/>
    <w:rsid w:val="0010717F"/>
    <w:rsid w:val="0011069D"/>
    <w:rsid w:val="00111358"/>
    <w:rsid w:val="0011376C"/>
    <w:rsid w:val="00114919"/>
    <w:rsid w:val="00116193"/>
    <w:rsid w:val="001178FD"/>
    <w:rsid w:val="0013107E"/>
    <w:rsid w:val="00135D9C"/>
    <w:rsid w:val="00137885"/>
    <w:rsid w:val="00150F81"/>
    <w:rsid w:val="00177526"/>
    <w:rsid w:val="001834FB"/>
    <w:rsid w:val="0019029C"/>
    <w:rsid w:val="00194943"/>
    <w:rsid w:val="00194A61"/>
    <w:rsid w:val="001951AF"/>
    <w:rsid w:val="00196C7D"/>
    <w:rsid w:val="001A5B2B"/>
    <w:rsid w:val="001A5B8C"/>
    <w:rsid w:val="001A70AC"/>
    <w:rsid w:val="001A75E6"/>
    <w:rsid w:val="001B779C"/>
    <w:rsid w:val="001B7DD1"/>
    <w:rsid w:val="001E1206"/>
    <w:rsid w:val="001E24F3"/>
    <w:rsid w:val="001E2917"/>
    <w:rsid w:val="001E5C57"/>
    <w:rsid w:val="001F4AA3"/>
    <w:rsid w:val="00205AE9"/>
    <w:rsid w:val="00212373"/>
    <w:rsid w:val="00221544"/>
    <w:rsid w:val="002235C9"/>
    <w:rsid w:val="00225E30"/>
    <w:rsid w:val="00232036"/>
    <w:rsid w:val="00233E64"/>
    <w:rsid w:val="00237C41"/>
    <w:rsid w:val="00243843"/>
    <w:rsid w:val="0025255C"/>
    <w:rsid w:val="002608FD"/>
    <w:rsid w:val="0026513E"/>
    <w:rsid w:val="00265B6C"/>
    <w:rsid w:val="002A363E"/>
    <w:rsid w:val="002C3172"/>
    <w:rsid w:val="002C3F5C"/>
    <w:rsid w:val="002D2DC7"/>
    <w:rsid w:val="002D740D"/>
    <w:rsid w:val="002E64D4"/>
    <w:rsid w:val="002F3FDF"/>
    <w:rsid w:val="002F4101"/>
    <w:rsid w:val="00300CBD"/>
    <w:rsid w:val="00302B44"/>
    <w:rsid w:val="00306D44"/>
    <w:rsid w:val="00317C6F"/>
    <w:rsid w:val="00323B43"/>
    <w:rsid w:val="003278B7"/>
    <w:rsid w:val="00341B57"/>
    <w:rsid w:val="003431FF"/>
    <w:rsid w:val="00352895"/>
    <w:rsid w:val="00352A47"/>
    <w:rsid w:val="00353D36"/>
    <w:rsid w:val="003563E6"/>
    <w:rsid w:val="003601CD"/>
    <w:rsid w:val="003629B6"/>
    <w:rsid w:val="00363172"/>
    <w:rsid w:val="00370F95"/>
    <w:rsid w:val="0037291A"/>
    <w:rsid w:val="0037557F"/>
    <w:rsid w:val="003B1FDD"/>
    <w:rsid w:val="003B4225"/>
    <w:rsid w:val="003C7763"/>
    <w:rsid w:val="003D37D8"/>
    <w:rsid w:val="003D3D01"/>
    <w:rsid w:val="003D422F"/>
    <w:rsid w:val="003F6AD7"/>
    <w:rsid w:val="004058CC"/>
    <w:rsid w:val="004069AE"/>
    <w:rsid w:val="00423775"/>
    <w:rsid w:val="004237CC"/>
    <w:rsid w:val="00424F6F"/>
    <w:rsid w:val="00426133"/>
    <w:rsid w:val="00432BA4"/>
    <w:rsid w:val="004358AB"/>
    <w:rsid w:val="004539F7"/>
    <w:rsid w:val="00454506"/>
    <w:rsid w:val="00460611"/>
    <w:rsid w:val="0046244B"/>
    <w:rsid w:val="004633D9"/>
    <w:rsid w:val="004758DF"/>
    <w:rsid w:val="00487080"/>
    <w:rsid w:val="0049496C"/>
    <w:rsid w:val="004A2C77"/>
    <w:rsid w:val="004C3E48"/>
    <w:rsid w:val="004C5D3F"/>
    <w:rsid w:val="004D3116"/>
    <w:rsid w:val="004D69F7"/>
    <w:rsid w:val="004F2BFB"/>
    <w:rsid w:val="0050501A"/>
    <w:rsid w:val="0051234A"/>
    <w:rsid w:val="0053300F"/>
    <w:rsid w:val="0053451D"/>
    <w:rsid w:val="00547D07"/>
    <w:rsid w:val="00562AF3"/>
    <w:rsid w:val="00567238"/>
    <w:rsid w:val="005741C9"/>
    <w:rsid w:val="0057454D"/>
    <w:rsid w:val="005749FD"/>
    <w:rsid w:val="00587AC9"/>
    <w:rsid w:val="00590837"/>
    <w:rsid w:val="00590A3C"/>
    <w:rsid w:val="00590B2C"/>
    <w:rsid w:val="005B280B"/>
    <w:rsid w:val="005C1ED9"/>
    <w:rsid w:val="005E67D9"/>
    <w:rsid w:val="005F2F41"/>
    <w:rsid w:val="00602B68"/>
    <w:rsid w:val="00622514"/>
    <w:rsid w:val="00622E39"/>
    <w:rsid w:val="00623FB9"/>
    <w:rsid w:val="00624CC0"/>
    <w:rsid w:val="00625752"/>
    <w:rsid w:val="0062627F"/>
    <w:rsid w:val="006318AB"/>
    <w:rsid w:val="00641347"/>
    <w:rsid w:val="0065762C"/>
    <w:rsid w:val="006626B0"/>
    <w:rsid w:val="0066527A"/>
    <w:rsid w:val="0067157B"/>
    <w:rsid w:val="00681872"/>
    <w:rsid w:val="006B29E3"/>
    <w:rsid w:val="006B3D75"/>
    <w:rsid w:val="006B5F1C"/>
    <w:rsid w:val="006D1614"/>
    <w:rsid w:val="006E49C0"/>
    <w:rsid w:val="006F1130"/>
    <w:rsid w:val="00710F52"/>
    <w:rsid w:val="00712BDB"/>
    <w:rsid w:val="00717953"/>
    <w:rsid w:val="0072511E"/>
    <w:rsid w:val="007400C8"/>
    <w:rsid w:val="00770DD7"/>
    <w:rsid w:val="007752C6"/>
    <w:rsid w:val="007848AB"/>
    <w:rsid w:val="0079768E"/>
    <w:rsid w:val="00797861"/>
    <w:rsid w:val="007A408C"/>
    <w:rsid w:val="007D488E"/>
    <w:rsid w:val="007E2792"/>
    <w:rsid w:val="007E70B2"/>
    <w:rsid w:val="007F56BB"/>
    <w:rsid w:val="00805F4F"/>
    <w:rsid w:val="00823912"/>
    <w:rsid w:val="0082544E"/>
    <w:rsid w:val="00846916"/>
    <w:rsid w:val="0088342B"/>
    <w:rsid w:val="008949D0"/>
    <w:rsid w:val="008A3245"/>
    <w:rsid w:val="008A4248"/>
    <w:rsid w:val="008A4728"/>
    <w:rsid w:val="008B1E10"/>
    <w:rsid w:val="008B37BE"/>
    <w:rsid w:val="008B4EAE"/>
    <w:rsid w:val="008B7726"/>
    <w:rsid w:val="008C7ECD"/>
    <w:rsid w:val="008D1B3F"/>
    <w:rsid w:val="008D1D05"/>
    <w:rsid w:val="008D27FE"/>
    <w:rsid w:val="008E5439"/>
    <w:rsid w:val="008F62E9"/>
    <w:rsid w:val="009309D0"/>
    <w:rsid w:val="00933085"/>
    <w:rsid w:val="009332E1"/>
    <w:rsid w:val="009529E1"/>
    <w:rsid w:val="00952D4B"/>
    <w:rsid w:val="009652DE"/>
    <w:rsid w:val="00997BE8"/>
    <w:rsid w:val="009C1B0F"/>
    <w:rsid w:val="009C2904"/>
    <w:rsid w:val="009C79B6"/>
    <w:rsid w:val="009D1298"/>
    <w:rsid w:val="009D5D2C"/>
    <w:rsid w:val="009D7EE8"/>
    <w:rsid w:val="009F3776"/>
    <w:rsid w:val="00A075E6"/>
    <w:rsid w:val="00A10D8C"/>
    <w:rsid w:val="00A201BF"/>
    <w:rsid w:val="00A25848"/>
    <w:rsid w:val="00A25DF5"/>
    <w:rsid w:val="00A349FB"/>
    <w:rsid w:val="00A40725"/>
    <w:rsid w:val="00A53E73"/>
    <w:rsid w:val="00A73CDD"/>
    <w:rsid w:val="00A90A12"/>
    <w:rsid w:val="00A953D2"/>
    <w:rsid w:val="00AA777D"/>
    <w:rsid w:val="00AB702E"/>
    <w:rsid w:val="00AD50E5"/>
    <w:rsid w:val="00AE1ED2"/>
    <w:rsid w:val="00AE29D8"/>
    <w:rsid w:val="00AE7FBF"/>
    <w:rsid w:val="00B0455E"/>
    <w:rsid w:val="00B2286E"/>
    <w:rsid w:val="00B41A48"/>
    <w:rsid w:val="00B46F3A"/>
    <w:rsid w:val="00B50655"/>
    <w:rsid w:val="00B519DC"/>
    <w:rsid w:val="00B71185"/>
    <w:rsid w:val="00B74932"/>
    <w:rsid w:val="00B75BFC"/>
    <w:rsid w:val="00B76244"/>
    <w:rsid w:val="00B93838"/>
    <w:rsid w:val="00B95D6E"/>
    <w:rsid w:val="00B96172"/>
    <w:rsid w:val="00BA7DC2"/>
    <w:rsid w:val="00BB2879"/>
    <w:rsid w:val="00BC5572"/>
    <w:rsid w:val="00BE1571"/>
    <w:rsid w:val="00BE773E"/>
    <w:rsid w:val="00BF5F4C"/>
    <w:rsid w:val="00C1056C"/>
    <w:rsid w:val="00C11DFC"/>
    <w:rsid w:val="00C14B4D"/>
    <w:rsid w:val="00C23C97"/>
    <w:rsid w:val="00C25C61"/>
    <w:rsid w:val="00C277FE"/>
    <w:rsid w:val="00C5253A"/>
    <w:rsid w:val="00C53CFC"/>
    <w:rsid w:val="00C57D79"/>
    <w:rsid w:val="00C70CB5"/>
    <w:rsid w:val="00C737F4"/>
    <w:rsid w:val="00C91FD6"/>
    <w:rsid w:val="00C9253E"/>
    <w:rsid w:val="00CA2C50"/>
    <w:rsid w:val="00CA4D92"/>
    <w:rsid w:val="00CB1940"/>
    <w:rsid w:val="00CB3CB8"/>
    <w:rsid w:val="00CB3CEF"/>
    <w:rsid w:val="00CB5A44"/>
    <w:rsid w:val="00CC10CA"/>
    <w:rsid w:val="00CC267D"/>
    <w:rsid w:val="00CC5E95"/>
    <w:rsid w:val="00CD07CF"/>
    <w:rsid w:val="00CD3B2E"/>
    <w:rsid w:val="00CD62BB"/>
    <w:rsid w:val="00CE3A2E"/>
    <w:rsid w:val="00CE4795"/>
    <w:rsid w:val="00CF7606"/>
    <w:rsid w:val="00D13AE2"/>
    <w:rsid w:val="00D17C15"/>
    <w:rsid w:val="00D2453A"/>
    <w:rsid w:val="00D31D50"/>
    <w:rsid w:val="00D34960"/>
    <w:rsid w:val="00D34B16"/>
    <w:rsid w:val="00D4543A"/>
    <w:rsid w:val="00D464FE"/>
    <w:rsid w:val="00D478DC"/>
    <w:rsid w:val="00D71A56"/>
    <w:rsid w:val="00D729BD"/>
    <w:rsid w:val="00D76570"/>
    <w:rsid w:val="00D819EF"/>
    <w:rsid w:val="00D8502C"/>
    <w:rsid w:val="00D97CB3"/>
    <w:rsid w:val="00DD639F"/>
    <w:rsid w:val="00DE462D"/>
    <w:rsid w:val="00DE6D7D"/>
    <w:rsid w:val="00DF43DA"/>
    <w:rsid w:val="00E0533C"/>
    <w:rsid w:val="00E44E88"/>
    <w:rsid w:val="00E45C7D"/>
    <w:rsid w:val="00E57825"/>
    <w:rsid w:val="00E71A38"/>
    <w:rsid w:val="00E83A7C"/>
    <w:rsid w:val="00E93D3B"/>
    <w:rsid w:val="00E9531A"/>
    <w:rsid w:val="00E96DE8"/>
    <w:rsid w:val="00EA1231"/>
    <w:rsid w:val="00EA5FEC"/>
    <w:rsid w:val="00EA6CAC"/>
    <w:rsid w:val="00EB2EEC"/>
    <w:rsid w:val="00EB6AAB"/>
    <w:rsid w:val="00ED3CDC"/>
    <w:rsid w:val="00EF2444"/>
    <w:rsid w:val="00EF48A2"/>
    <w:rsid w:val="00EF7D46"/>
    <w:rsid w:val="00F146F5"/>
    <w:rsid w:val="00F356D4"/>
    <w:rsid w:val="00F56AC7"/>
    <w:rsid w:val="00F607D9"/>
    <w:rsid w:val="00F6091C"/>
    <w:rsid w:val="00F64C4D"/>
    <w:rsid w:val="00F93942"/>
    <w:rsid w:val="00F962AA"/>
    <w:rsid w:val="00FB555F"/>
    <w:rsid w:val="00FC1081"/>
    <w:rsid w:val="00FD3955"/>
    <w:rsid w:val="00FE1101"/>
    <w:rsid w:val="00FF5D20"/>
    <w:rsid w:val="02D70761"/>
    <w:rsid w:val="04C5414C"/>
    <w:rsid w:val="0515297A"/>
    <w:rsid w:val="076F2F7A"/>
    <w:rsid w:val="07FE1A43"/>
    <w:rsid w:val="0AAF0EA1"/>
    <w:rsid w:val="0ABA76C0"/>
    <w:rsid w:val="0C1601E5"/>
    <w:rsid w:val="0DCE3D7F"/>
    <w:rsid w:val="0E167A15"/>
    <w:rsid w:val="0F725649"/>
    <w:rsid w:val="10696147"/>
    <w:rsid w:val="12944E73"/>
    <w:rsid w:val="17836175"/>
    <w:rsid w:val="1B011F2B"/>
    <w:rsid w:val="1B017E27"/>
    <w:rsid w:val="1B7B061E"/>
    <w:rsid w:val="21EB7C5D"/>
    <w:rsid w:val="251D5566"/>
    <w:rsid w:val="25227766"/>
    <w:rsid w:val="25CB04BA"/>
    <w:rsid w:val="29F0358E"/>
    <w:rsid w:val="2C7369C3"/>
    <w:rsid w:val="2CFA6966"/>
    <w:rsid w:val="2E6B75A2"/>
    <w:rsid w:val="32C874A1"/>
    <w:rsid w:val="33786029"/>
    <w:rsid w:val="33CD562E"/>
    <w:rsid w:val="360F4504"/>
    <w:rsid w:val="392929B2"/>
    <w:rsid w:val="3CC64779"/>
    <w:rsid w:val="3E6E6D0F"/>
    <w:rsid w:val="3EC90DF9"/>
    <w:rsid w:val="3ECC06FB"/>
    <w:rsid w:val="401B0867"/>
    <w:rsid w:val="402B4549"/>
    <w:rsid w:val="402E3F00"/>
    <w:rsid w:val="465D122C"/>
    <w:rsid w:val="478E5544"/>
    <w:rsid w:val="4920780C"/>
    <w:rsid w:val="4AD609DA"/>
    <w:rsid w:val="4CE60C58"/>
    <w:rsid w:val="4ECA7581"/>
    <w:rsid w:val="4F577BF5"/>
    <w:rsid w:val="521224D1"/>
    <w:rsid w:val="55DE014F"/>
    <w:rsid w:val="5695711A"/>
    <w:rsid w:val="581357DF"/>
    <w:rsid w:val="5A297BE7"/>
    <w:rsid w:val="5B6D2D08"/>
    <w:rsid w:val="5BB8144E"/>
    <w:rsid w:val="5F66187F"/>
    <w:rsid w:val="609F5616"/>
    <w:rsid w:val="60BA481D"/>
    <w:rsid w:val="611B044B"/>
    <w:rsid w:val="62856444"/>
    <w:rsid w:val="66341E0F"/>
    <w:rsid w:val="67A13366"/>
    <w:rsid w:val="6C2D3541"/>
    <w:rsid w:val="6CDA76C5"/>
    <w:rsid w:val="6EB64DAB"/>
    <w:rsid w:val="6F8612A0"/>
    <w:rsid w:val="724620D5"/>
    <w:rsid w:val="77C970EF"/>
    <w:rsid w:val="78D96DCD"/>
    <w:rsid w:val="7B811379"/>
    <w:rsid w:val="7C580B28"/>
    <w:rsid w:val="7C663037"/>
    <w:rsid w:val="7E867D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qFormat/>
    <w:uiPriority w:val="99"/>
    <w:rPr>
      <w:rFonts w:ascii="Tahoma" w:hAnsi="Tahoma" w:eastAsia="微软雅黑"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AF2D5-7DA4-45BB-84E8-B8EF06B31A5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640</Words>
  <Characters>3650</Characters>
  <Lines>30</Lines>
  <Paragraphs>8</Paragraphs>
  <TotalTime>78</TotalTime>
  <ScaleCrop>false</ScaleCrop>
  <LinksUpToDate>false</LinksUpToDate>
  <CharactersWithSpaces>4282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2020-05-19T09:37:00Z</dcterms:created>
  <dc:creator>总预算</dc:creator>
  <cp:lastModifiedBy>Administrator</cp:lastModifiedBy>
  <cp:lastPrinted>2019-03-11T03:31:00Z</cp:lastPrinted>
  <dcterms:modified xsi:type="dcterms:W3CDTF">2023-03-03T04:24:44Z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