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spacing w:line="570" w:lineRule="exact"/>
        <w:ind w:left="0" w:leftChars="0" w:right="0" w:rightChars="0"/>
        <w:jc w:val="center"/>
        <w:textAlignment w:val="auto"/>
        <w:rPr>
          <w:rFonts w:hint="eastAsia" w:ascii="方正小标宋简体" w:hAnsi="仿宋" w:eastAsia="方正小标宋简体"/>
          <w:sz w:val="44"/>
          <w:szCs w:val="44"/>
        </w:rPr>
      </w:pPr>
    </w:p>
    <w:p>
      <w:pPr>
        <w:keepNext w:val="0"/>
        <w:keepLines w:val="0"/>
        <w:pageBreakBefore w:val="0"/>
        <w:widowControl w:val="0"/>
        <w:kinsoku/>
        <w:wordWrap/>
        <w:overflowPunct/>
        <w:topLinePunct w:val="0"/>
        <w:bidi w:val="0"/>
        <w:spacing w:line="570" w:lineRule="exact"/>
        <w:ind w:left="0" w:leftChars="0" w:right="0" w:rightChars="0"/>
        <w:jc w:val="center"/>
        <w:textAlignment w:val="auto"/>
        <w:rPr>
          <w:rFonts w:hint="eastAsia" w:ascii="方正小标宋简体" w:hAnsi="仿宋" w:eastAsia="方正小标宋简体"/>
          <w:sz w:val="44"/>
          <w:szCs w:val="44"/>
        </w:rPr>
      </w:pPr>
    </w:p>
    <w:p>
      <w:pPr>
        <w:keepNext w:val="0"/>
        <w:keepLines w:val="0"/>
        <w:pageBreakBefore w:val="0"/>
        <w:widowControl w:val="0"/>
        <w:kinsoku/>
        <w:wordWrap/>
        <w:overflowPunct/>
        <w:topLinePunct w:val="0"/>
        <w:bidi w:val="0"/>
        <w:spacing w:line="570" w:lineRule="exact"/>
        <w:ind w:left="0" w:leftChars="0" w:right="0" w:rightChars="0"/>
        <w:jc w:val="center"/>
        <w:textAlignment w:val="auto"/>
        <w:rPr>
          <w:rFonts w:hint="eastAsia" w:ascii="方正小标宋简体" w:hAnsi="仿宋" w:eastAsia="方正小标宋简体"/>
          <w:sz w:val="44"/>
          <w:szCs w:val="44"/>
        </w:rPr>
      </w:pPr>
    </w:p>
    <w:p>
      <w:pPr>
        <w:keepNext w:val="0"/>
        <w:keepLines w:val="0"/>
        <w:pageBreakBefore w:val="0"/>
        <w:widowControl w:val="0"/>
        <w:kinsoku/>
        <w:wordWrap/>
        <w:overflowPunct/>
        <w:topLinePunct w:val="0"/>
        <w:bidi w:val="0"/>
        <w:spacing w:line="570" w:lineRule="exact"/>
        <w:ind w:left="0" w:leftChars="0" w:right="0" w:rightChars="0"/>
        <w:jc w:val="center"/>
        <w:textAlignment w:val="auto"/>
        <w:rPr>
          <w:rFonts w:ascii="方正小标宋简体" w:hAnsi="仿宋" w:eastAsia="方正小标宋简体"/>
          <w:sz w:val="44"/>
          <w:szCs w:val="44"/>
        </w:rPr>
      </w:pPr>
      <w:r>
        <w:rPr>
          <w:rFonts w:hint="eastAsia" w:ascii="方正小标宋简体" w:hAnsi="仿宋" w:eastAsia="方正小标宋简体"/>
          <w:sz w:val="44"/>
          <w:szCs w:val="44"/>
        </w:rPr>
        <w:t>察隅县教育局202</w:t>
      </w:r>
      <w:r>
        <w:rPr>
          <w:rFonts w:hint="eastAsia" w:ascii="方正小标宋简体" w:hAnsi="仿宋" w:eastAsia="方正小标宋简体"/>
          <w:sz w:val="44"/>
          <w:szCs w:val="44"/>
          <w:lang w:val="en-US" w:eastAsia="zh-CN"/>
        </w:rPr>
        <w:t>3</w:t>
      </w:r>
      <w:r>
        <w:rPr>
          <w:rFonts w:hint="eastAsia" w:ascii="方正小标宋简体" w:hAnsi="仿宋" w:eastAsia="方正小标宋简体"/>
          <w:sz w:val="44"/>
          <w:szCs w:val="44"/>
        </w:rPr>
        <w:t>年度部门预算</w:t>
      </w:r>
    </w:p>
    <w:p>
      <w:pPr>
        <w:keepNext w:val="0"/>
        <w:keepLines w:val="0"/>
        <w:pageBreakBefore w:val="0"/>
        <w:widowControl w:val="0"/>
        <w:kinsoku/>
        <w:wordWrap/>
        <w:overflowPunct/>
        <w:topLinePunct w:val="0"/>
        <w:bidi w:val="0"/>
        <w:spacing w:line="570" w:lineRule="exact"/>
        <w:ind w:left="0" w:leftChars="0" w:right="0" w:rightChars="0"/>
        <w:textAlignment w:val="auto"/>
        <w:rPr>
          <w:rFonts w:ascii="仿宋" w:hAnsi="仿宋" w:eastAsia="仿宋"/>
          <w:sz w:val="32"/>
          <w:szCs w:val="32"/>
        </w:rPr>
      </w:pPr>
    </w:p>
    <w:p>
      <w:pPr>
        <w:keepNext w:val="0"/>
        <w:keepLines w:val="0"/>
        <w:pageBreakBefore w:val="0"/>
        <w:widowControl w:val="0"/>
        <w:kinsoku/>
        <w:wordWrap/>
        <w:overflowPunct/>
        <w:topLinePunct w:val="0"/>
        <w:bidi w:val="0"/>
        <w:spacing w:line="570" w:lineRule="exact"/>
        <w:ind w:left="0" w:leftChars="0" w:right="0" w:rightChars="0"/>
        <w:textAlignment w:val="auto"/>
        <w:rPr>
          <w:rFonts w:ascii="仿宋" w:hAnsi="仿宋" w:eastAsia="仿宋"/>
          <w:sz w:val="32"/>
          <w:szCs w:val="32"/>
        </w:rPr>
      </w:pPr>
    </w:p>
    <w:p>
      <w:pPr>
        <w:keepNext w:val="0"/>
        <w:keepLines w:val="0"/>
        <w:pageBreakBefore w:val="0"/>
        <w:widowControl w:val="0"/>
        <w:kinsoku/>
        <w:wordWrap/>
        <w:overflowPunct/>
        <w:topLinePunct w:val="0"/>
        <w:bidi w:val="0"/>
        <w:spacing w:line="570" w:lineRule="exact"/>
        <w:ind w:left="0" w:leftChars="0" w:right="0" w:rightChars="0"/>
        <w:textAlignment w:val="auto"/>
        <w:rPr>
          <w:rFonts w:ascii="仿宋" w:hAnsi="仿宋" w:eastAsia="仿宋"/>
          <w:sz w:val="32"/>
          <w:szCs w:val="32"/>
        </w:rPr>
      </w:pPr>
    </w:p>
    <w:p>
      <w:pPr>
        <w:keepNext w:val="0"/>
        <w:keepLines w:val="0"/>
        <w:pageBreakBefore w:val="0"/>
        <w:widowControl w:val="0"/>
        <w:kinsoku/>
        <w:wordWrap/>
        <w:overflowPunct/>
        <w:topLinePunct w:val="0"/>
        <w:bidi w:val="0"/>
        <w:spacing w:line="570" w:lineRule="exact"/>
        <w:ind w:left="0" w:leftChars="0" w:right="0" w:rightChars="0"/>
        <w:textAlignment w:val="auto"/>
        <w:rPr>
          <w:rFonts w:ascii="仿宋" w:hAnsi="仿宋" w:eastAsia="仿宋"/>
          <w:sz w:val="32"/>
          <w:szCs w:val="32"/>
        </w:rPr>
      </w:pPr>
    </w:p>
    <w:p>
      <w:pPr>
        <w:keepNext w:val="0"/>
        <w:keepLines w:val="0"/>
        <w:pageBreakBefore w:val="0"/>
        <w:widowControl w:val="0"/>
        <w:kinsoku/>
        <w:wordWrap/>
        <w:overflowPunct/>
        <w:topLinePunct w:val="0"/>
        <w:bidi w:val="0"/>
        <w:spacing w:line="570" w:lineRule="exact"/>
        <w:ind w:left="0" w:leftChars="0" w:right="0" w:rightChars="0"/>
        <w:textAlignment w:val="auto"/>
        <w:rPr>
          <w:rFonts w:ascii="仿宋" w:hAnsi="仿宋" w:eastAsia="仿宋"/>
          <w:sz w:val="32"/>
          <w:szCs w:val="32"/>
        </w:rPr>
      </w:pPr>
    </w:p>
    <w:p>
      <w:pPr>
        <w:keepNext w:val="0"/>
        <w:keepLines w:val="0"/>
        <w:pageBreakBefore w:val="0"/>
        <w:widowControl w:val="0"/>
        <w:kinsoku/>
        <w:wordWrap/>
        <w:overflowPunct/>
        <w:topLinePunct w:val="0"/>
        <w:bidi w:val="0"/>
        <w:spacing w:line="570" w:lineRule="exact"/>
        <w:ind w:left="0" w:leftChars="0" w:right="0" w:rightChars="0"/>
        <w:textAlignment w:val="auto"/>
        <w:rPr>
          <w:rFonts w:ascii="仿宋" w:hAnsi="仿宋" w:eastAsia="仿宋"/>
          <w:sz w:val="32"/>
          <w:szCs w:val="32"/>
        </w:rPr>
      </w:pPr>
    </w:p>
    <w:p>
      <w:pPr>
        <w:keepNext w:val="0"/>
        <w:keepLines w:val="0"/>
        <w:pageBreakBefore w:val="0"/>
        <w:widowControl w:val="0"/>
        <w:kinsoku/>
        <w:wordWrap/>
        <w:overflowPunct/>
        <w:topLinePunct w:val="0"/>
        <w:bidi w:val="0"/>
        <w:spacing w:line="570" w:lineRule="exact"/>
        <w:ind w:left="0" w:leftChars="0" w:right="0" w:rightChars="0"/>
        <w:textAlignment w:val="auto"/>
        <w:rPr>
          <w:rFonts w:ascii="仿宋" w:hAnsi="仿宋" w:eastAsia="仿宋"/>
          <w:sz w:val="32"/>
          <w:szCs w:val="32"/>
        </w:rPr>
      </w:pPr>
    </w:p>
    <w:p>
      <w:pPr>
        <w:keepNext w:val="0"/>
        <w:keepLines w:val="0"/>
        <w:pageBreakBefore w:val="0"/>
        <w:widowControl w:val="0"/>
        <w:kinsoku/>
        <w:wordWrap/>
        <w:overflowPunct/>
        <w:topLinePunct w:val="0"/>
        <w:bidi w:val="0"/>
        <w:spacing w:line="570" w:lineRule="exact"/>
        <w:ind w:left="0" w:leftChars="0" w:right="0" w:rightChars="0"/>
        <w:textAlignment w:val="auto"/>
        <w:rPr>
          <w:rFonts w:ascii="仿宋" w:hAnsi="仿宋" w:eastAsia="仿宋"/>
          <w:sz w:val="32"/>
          <w:szCs w:val="32"/>
        </w:rPr>
      </w:pPr>
    </w:p>
    <w:p>
      <w:pPr>
        <w:keepNext w:val="0"/>
        <w:keepLines w:val="0"/>
        <w:pageBreakBefore w:val="0"/>
        <w:widowControl w:val="0"/>
        <w:kinsoku/>
        <w:wordWrap/>
        <w:overflowPunct/>
        <w:topLinePunct w:val="0"/>
        <w:bidi w:val="0"/>
        <w:spacing w:line="570" w:lineRule="exact"/>
        <w:ind w:left="0" w:leftChars="0" w:right="0" w:rightChars="0"/>
        <w:textAlignment w:val="auto"/>
        <w:rPr>
          <w:rFonts w:ascii="仿宋" w:hAnsi="仿宋" w:eastAsia="仿宋"/>
          <w:sz w:val="32"/>
          <w:szCs w:val="32"/>
        </w:rPr>
      </w:pPr>
    </w:p>
    <w:p>
      <w:pPr>
        <w:keepNext w:val="0"/>
        <w:keepLines w:val="0"/>
        <w:pageBreakBefore w:val="0"/>
        <w:widowControl w:val="0"/>
        <w:kinsoku/>
        <w:wordWrap/>
        <w:overflowPunct/>
        <w:topLinePunct w:val="0"/>
        <w:bidi w:val="0"/>
        <w:spacing w:line="570" w:lineRule="exact"/>
        <w:ind w:left="0" w:leftChars="0" w:right="0" w:rightChars="0"/>
        <w:textAlignment w:val="auto"/>
        <w:rPr>
          <w:rFonts w:ascii="仿宋" w:hAnsi="仿宋" w:eastAsia="仿宋"/>
          <w:sz w:val="32"/>
          <w:szCs w:val="32"/>
        </w:rPr>
      </w:pPr>
    </w:p>
    <w:p>
      <w:pPr>
        <w:keepNext w:val="0"/>
        <w:keepLines w:val="0"/>
        <w:pageBreakBefore w:val="0"/>
        <w:widowControl w:val="0"/>
        <w:kinsoku/>
        <w:wordWrap/>
        <w:overflowPunct/>
        <w:topLinePunct w:val="0"/>
        <w:bidi w:val="0"/>
        <w:spacing w:line="570" w:lineRule="exact"/>
        <w:ind w:left="0" w:leftChars="0" w:right="0" w:rightChars="0"/>
        <w:textAlignment w:val="auto"/>
        <w:rPr>
          <w:rFonts w:ascii="仿宋" w:hAnsi="仿宋" w:eastAsia="仿宋"/>
          <w:sz w:val="32"/>
          <w:szCs w:val="32"/>
        </w:rPr>
      </w:pPr>
    </w:p>
    <w:p>
      <w:pPr>
        <w:keepNext w:val="0"/>
        <w:keepLines w:val="0"/>
        <w:pageBreakBefore w:val="0"/>
        <w:widowControl w:val="0"/>
        <w:kinsoku/>
        <w:wordWrap/>
        <w:overflowPunct/>
        <w:topLinePunct w:val="0"/>
        <w:bidi w:val="0"/>
        <w:spacing w:line="570" w:lineRule="exact"/>
        <w:ind w:left="0" w:leftChars="0" w:right="0" w:rightChars="0"/>
        <w:textAlignment w:val="auto"/>
        <w:rPr>
          <w:rFonts w:ascii="仿宋" w:hAnsi="仿宋" w:eastAsia="仿宋"/>
          <w:sz w:val="32"/>
          <w:szCs w:val="32"/>
        </w:rPr>
      </w:pPr>
    </w:p>
    <w:p>
      <w:pPr>
        <w:keepNext w:val="0"/>
        <w:keepLines w:val="0"/>
        <w:pageBreakBefore w:val="0"/>
        <w:widowControl w:val="0"/>
        <w:kinsoku/>
        <w:wordWrap/>
        <w:overflowPunct/>
        <w:topLinePunct w:val="0"/>
        <w:bidi w:val="0"/>
        <w:spacing w:line="570" w:lineRule="exact"/>
        <w:ind w:left="0" w:leftChars="0" w:right="0" w:rightChars="0"/>
        <w:textAlignment w:val="auto"/>
        <w:rPr>
          <w:rFonts w:ascii="仿宋" w:hAnsi="仿宋" w:eastAsia="仿宋"/>
          <w:sz w:val="32"/>
          <w:szCs w:val="32"/>
        </w:rPr>
      </w:pPr>
    </w:p>
    <w:p>
      <w:pPr>
        <w:keepNext w:val="0"/>
        <w:keepLines w:val="0"/>
        <w:pageBreakBefore w:val="0"/>
        <w:widowControl w:val="0"/>
        <w:kinsoku/>
        <w:wordWrap/>
        <w:overflowPunct/>
        <w:topLinePunct w:val="0"/>
        <w:bidi w:val="0"/>
        <w:spacing w:line="570" w:lineRule="exact"/>
        <w:ind w:left="0" w:leftChars="0" w:right="0" w:rightChars="0"/>
        <w:textAlignment w:val="auto"/>
        <w:rPr>
          <w:rFonts w:ascii="仿宋" w:hAnsi="仿宋" w:eastAsia="仿宋"/>
          <w:sz w:val="32"/>
          <w:szCs w:val="32"/>
        </w:rPr>
      </w:pPr>
    </w:p>
    <w:p>
      <w:pPr>
        <w:keepNext w:val="0"/>
        <w:keepLines w:val="0"/>
        <w:pageBreakBefore w:val="0"/>
        <w:widowControl w:val="0"/>
        <w:kinsoku/>
        <w:wordWrap/>
        <w:overflowPunct/>
        <w:topLinePunct w:val="0"/>
        <w:bidi w:val="0"/>
        <w:spacing w:line="570" w:lineRule="exact"/>
        <w:ind w:left="0" w:leftChars="0" w:right="0" w:rightChars="0"/>
        <w:textAlignment w:val="auto"/>
        <w:rPr>
          <w:rFonts w:ascii="仿宋" w:hAnsi="仿宋" w:eastAsia="仿宋"/>
          <w:sz w:val="32"/>
          <w:szCs w:val="32"/>
        </w:rPr>
      </w:pPr>
    </w:p>
    <w:p>
      <w:pPr>
        <w:keepNext w:val="0"/>
        <w:keepLines w:val="0"/>
        <w:pageBreakBefore w:val="0"/>
        <w:widowControl w:val="0"/>
        <w:kinsoku/>
        <w:wordWrap/>
        <w:overflowPunct/>
        <w:topLinePunct w:val="0"/>
        <w:bidi w:val="0"/>
        <w:spacing w:line="570" w:lineRule="exact"/>
        <w:ind w:left="0" w:leftChars="0" w:right="0" w:rightChars="0"/>
        <w:textAlignment w:val="auto"/>
        <w:rPr>
          <w:rFonts w:ascii="仿宋" w:hAnsi="仿宋" w:eastAsia="仿宋"/>
          <w:sz w:val="32"/>
          <w:szCs w:val="32"/>
        </w:rPr>
      </w:pPr>
      <w:bookmarkStart w:id="0" w:name="_GoBack"/>
      <w:bookmarkEnd w:id="0"/>
    </w:p>
    <w:p>
      <w:pPr>
        <w:keepNext w:val="0"/>
        <w:keepLines w:val="0"/>
        <w:pageBreakBefore w:val="0"/>
        <w:widowControl w:val="0"/>
        <w:kinsoku/>
        <w:wordWrap/>
        <w:overflowPunct/>
        <w:topLinePunct w:val="0"/>
        <w:bidi w:val="0"/>
        <w:spacing w:line="570" w:lineRule="exact"/>
        <w:ind w:left="0" w:leftChars="0" w:right="0" w:right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 xml:space="preserve"> 02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rPr>
        <w:t>日</w:t>
      </w:r>
    </w:p>
    <w:p>
      <w:pPr>
        <w:keepNext w:val="0"/>
        <w:keepLines w:val="0"/>
        <w:pageBreakBefore w:val="0"/>
        <w:widowControl w:val="0"/>
        <w:kinsoku/>
        <w:wordWrap/>
        <w:overflowPunct/>
        <w:topLinePunct w:val="0"/>
        <w:bidi w:val="0"/>
        <w:spacing w:line="570" w:lineRule="exact"/>
        <w:ind w:left="0" w:leftChars="0" w:right="0" w:rightChars="0"/>
        <w:textAlignment w:val="auto"/>
        <w:rPr>
          <w:rFonts w:ascii="仿宋" w:hAnsi="仿宋" w:eastAsia="仿宋"/>
          <w:sz w:val="32"/>
          <w:szCs w:val="32"/>
        </w:rPr>
      </w:pPr>
    </w:p>
    <w:p>
      <w:pPr>
        <w:keepNext w:val="0"/>
        <w:keepLines w:val="0"/>
        <w:pageBreakBefore w:val="0"/>
        <w:widowControl w:val="0"/>
        <w:kinsoku/>
        <w:wordWrap/>
        <w:overflowPunct/>
        <w:topLinePunct w:val="0"/>
        <w:bidi w:val="0"/>
        <w:spacing w:line="570" w:lineRule="exact"/>
        <w:ind w:left="0" w:leftChars="0" w:right="0" w:rightChars="0"/>
        <w:textAlignment w:val="auto"/>
        <w:rPr>
          <w:rFonts w:ascii="仿宋" w:hAnsi="仿宋" w:eastAsia="仿宋"/>
          <w:sz w:val="32"/>
          <w:szCs w:val="32"/>
        </w:rPr>
      </w:pPr>
    </w:p>
    <w:p>
      <w:pPr>
        <w:keepNext w:val="0"/>
        <w:keepLines w:val="0"/>
        <w:pageBreakBefore w:val="0"/>
        <w:widowControl w:val="0"/>
        <w:kinsoku/>
        <w:wordWrap/>
        <w:overflowPunct/>
        <w:topLinePunct w:val="0"/>
        <w:bidi w:val="0"/>
        <w:spacing w:line="570" w:lineRule="exact"/>
        <w:ind w:left="0" w:leftChars="0" w:right="0" w:rightChars="0"/>
        <w:textAlignment w:val="auto"/>
        <w:rPr>
          <w:rFonts w:ascii="仿宋" w:hAnsi="仿宋" w:eastAsia="仿宋"/>
          <w:sz w:val="32"/>
          <w:szCs w:val="32"/>
        </w:rPr>
      </w:pPr>
    </w:p>
    <w:p>
      <w:pPr>
        <w:keepNext w:val="0"/>
        <w:keepLines w:val="0"/>
        <w:pageBreakBefore w:val="0"/>
        <w:widowControl w:val="0"/>
        <w:kinsoku/>
        <w:wordWrap/>
        <w:overflowPunct/>
        <w:topLinePunct w:val="0"/>
        <w:bidi w:val="0"/>
        <w:spacing w:line="570" w:lineRule="exact"/>
        <w:ind w:left="0" w:leftChars="0" w:right="0" w:rightChars="0"/>
        <w:jc w:val="center"/>
        <w:textAlignment w:val="auto"/>
        <w:rPr>
          <w:rFonts w:ascii="方正小标宋简体" w:hAnsi="仿宋" w:eastAsia="方正小标宋简体"/>
          <w:sz w:val="44"/>
          <w:szCs w:val="44"/>
        </w:rPr>
      </w:pPr>
      <w:r>
        <w:rPr>
          <w:rFonts w:hint="eastAsia" w:ascii="方正小标宋简体" w:hAnsi="仿宋" w:eastAsia="方正小标宋简体"/>
          <w:sz w:val="44"/>
          <w:szCs w:val="44"/>
        </w:rPr>
        <w:t>目  录</w:t>
      </w:r>
    </w:p>
    <w:p>
      <w:pPr>
        <w:keepNext w:val="0"/>
        <w:keepLines w:val="0"/>
        <w:pageBreakBefore w:val="0"/>
        <w:widowControl w:val="0"/>
        <w:kinsoku/>
        <w:wordWrap/>
        <w:overflowPunct/>
        <w:topLinePunct w:val="0"/>
        <w:bidi w:val="0"/>
        <w:spacing w:line="570" w:lineRule="exact"/>
        <w:ind w:left="0" w:leftChars="0" w:right="0" w:rightChars="0"/>
        <w:textAlignment w:val="auto"/>
        <w:rPr>
          <w:rFonts w:ascii="仿宋" w:hAnsi="仿宋" w:eastAsia="仿宋"/>
          <w:sz w:val="32"/>
          <w:szCs w:val="32"/>
        </w:rPr>
      </w:pPr>
    </w:p>
    <w:p>
      <w:pPr>
        <w:keepNext w:val="0"/>
        <w:keepLines w:val="0"/>
        <w:pageBreakBefore w:val="0"/>
        <w:widowControl w:val="0"/>
        <w:kinsoku/>
        <w:wordWrap/>
        <w:overflowPunct/>
        <w:topLinePunct w:val="0"/>
        <w:bidi w:val="0"/>
        <w:spacing w:line="570" w:lineRule="exact"/>
        <w:ind w:left="0" w:leftChars="0" w:right="0" w:rightChars="0"/>
        <w:textAlignment w:val="auto"/>
        <w:rPr>
          <w:rFonts w:hint="eastAsia" w:ascii="黑体" w:hAnsi="黑体" w:eastAsia="黑体" w:cs="黑体"/>
          <w:sz w:val="32"/>
          <w:szCs w:val="32"/>
        </w:rPr>
      </w:pPr>
      <w:r>
        <w:rPr>
          <w:rFonts w:hint="eastAsia" w:ascii="黑体" w:hAnsi="黑体" w:eastAsia="黑体" w:cs="黑体"/>
          <w:sz w:val="32"/>
          <w:szCs w:val="32"/>
        </w:rPr>
        <w:t>第一部分</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察隅县教育局概况</w:t>
      </w:r>
    </w:p>
    <w:p>
      <w:pPr>
        <w:keepNext w:val="0"/>
        <w:keepLines w:val="0"/>
        <w:pageBreakBefore w:val="0"/>
        <w:widowControl w:val="0"/>
        <w:kinsoku/>
        <w:wordWrap/>
        <w:overflowPunct/>
        <w:topLinePunct w:val="0"/>
        <w:bidi w:val="0"/>
        <w:spacing w:line="57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一、主要职能</w:t>
      </w:r>
    </w:p>
    <w:p>
      <w:pPr>
        <w:keepNext w:val="0"/>
        <w:keepLines w:val="0"/>
        <w:pageBreakBefore w:val="0"/>
        <w:widowControl w:val="0"/>
        <w:kinsoku/>
        <w:wordWrap/>
        <w:overflowPunct/>
        <w:topLinePunct w:val="0"/>
        <w:bidi w:val="0"/>
        <w:spacing w:line="57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二、部门预算单位构成</w:t>
      </w:r>
    </w:p>
    <w:p>
      <w:pPr>
        <w:keepNext w:val="0"/>
        <w:keepLines w:val="0"/>
        <w:pageBreakBefore w:val="0"/>
        <w:widowControl w:val="0"/>
        <w:kinsoku/>
        <w:wordWrap/>
        <w:overflowPunct/>
        <w:topLinePunct w:val="0"/>
        <w:bidi w:val="0"/>
        <w:spacing w:line="570" w:lineRule="exact"/>
        <w:ind w:left="0" w:leftChars="0" w:right="0" w:rightChars="0"/>
        <w:textAlignment w:val="auto"/>
        <w:rPr>
          <w:rFonts w:hint="eastAsia" w:ascii="黑体" w:hAnsi="黑体" w:eastAsia="黑体" w:cs="黑体"/>
          <w:sz w:val="32"/>
          <w:szCs w:val="32"/>
        </w:rPr>
      </w:pPr>
      <w:r>
        <w:rPr>
          <w:rFonts w:hint="eastAsia" w:ascii="黑体" w:hAnsi="黑体" w:eastAsia="黑体" w:cs="黑体"/>
          <w:sz w:val="32"/>
          <w:szCs w:val="32"/>
        </w:rPr>
        <w:t>第二部分</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察隅县教育局202</w:t>
      </w:r>
      <w:r>
        <w:rPr>
          <w:rFonts w:hint="eastAsia" w:ascii="黑体" w:hAnsi="黑体" w:eastAsia="黑体" w:cs="黑体"/>
          <w:sz w:val="32"/>
          <w:szCs w:val="32"/>
          <w:lang w:val="en-US" w:eastAsia="zh-CN"/>
        </w:rPr>
        <w:t>3</w:t>
      </w:r>
      <w:r>
        <w:rPr>
          <w:rFonts w:hint="eastAsia" w:ascii="黑体" w:hAnsi="黑体" w:eastAsia="黑体" w:cs="黑体"/>
          <w:sz w:val="32"/>
          <w:szCs w:val="32"/>
        </w:rPr>
        <w:t>年度部门预算明细表</w:t>
      </w:r>
    </w:p>
    <w:p>
      <w:pPr>
        <w:keepNext w:val="0"/>
        <w:keepLines w:val="0"/>
        <w:pageBreakBefore w:val="0"/>
        <w:widowControl w:val="0"/>
        <w:kinsoku/>
        <w:wordWrap/>
        <w:overflowPunct/>
        <w:topLinePunct w:val="0"/>
        <w:bidi w:val="0"/>
        <w:spacing w:line="57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一、部门收支总体情况表</w:t>
      </w:r>
    </w:p>
    <w:p>
      <w:pPr>
        <w:keepNext w:val="0"/>
        <w:keepLines w:val="0"/>
        <w:pageBreakBefore w:val="0"/>
        <w:widowControl w:val="0"/>
        <w:kinsoku/>
        <w:wordWrap/>
        <w:overflowPunct/>
        <w:topLinePunct w:val="0"/>
        <w:bidi w:val="0"/>
        <w:spacing w:line="57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二、部门收入总体情况表</w:t>
      </w:r>
    </w:p>
    <w:p>
      <w:pPr>
        <w:keepNext w:val="0"/>
        <w:keepLines w:val="0"/>
        <w:pageBreakBefore w:val="0"/>
        <w:widowControl w:val="0"/>
        <w:kinsoku/>
        <w:wordWrap/>
        <w:overflowPunct/>
        <w:topLinePunct w:val="0"/>
        <w:bidi w:val="0"/>
        <w:spacing w:line="57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三、部门支出总体情况表</w:t>
      </w:r>
    </w:p>
    <w:p>
      <w:pPr>
        <w:keepNext w:val="0"/>
        <w:keepLines w:val="0"/>
        <w:pageBreakBefore w:val="0"/>
        <w:widowControl w:val="0"/>
        <w:kinsoku/>
        <w:wordWrap/>
        <w:overflowPunct/>
        <w:topLinePunct w:val="0"/>
        <w:bidi w:val="0"/>
        <w:spacing w:line="57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四、财政拨款收支总体情况表</w:t>
      </w:r>
    </w:p>
    <w:p>
      <w:pPr>
        <w:keepNext w:val="0"/>
        <w:keepLines w:val="0"/>
        <w:pageBreakBefore w:val="0"/>
        <w:widowControl w:val="0"/>
        <w:kinsoku/>
        <w:wordWrap/>
        <w:overflowPunct/>
        <w:topLinePunct w:val="0"/>
        <w:bidi w:val="0"/>
        <w:spacing w:line="57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五、一般公共预算支出情况表（按功能分类科目）</w:t>
      </w:r>
    </w:p>
    <w:p>
      <w:pPr>
        <w:keepNext w:val="0"/>
        <w:keepLines w:val="0"/>
        <w:pageBreakBefore w:val="0"/>
        <w:widowControl w:val="0"/>
        <w:kinsoku/>
        <w:wordWrap/>
        <w:overflowPunct/>
        <w:topLinePunct w:val="0"/>
        <w:bidi w:val="0"/>
        <w:spacing w:line="57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六、一般公共预算基本支出情况表（按经济分类款级科目）</w:t>
      </w:r>
    </w:p>
    <w:p>
      <w:pPr>
        <w:keepNext w:val="0"/>
        <w:keepLines w:val="0"/>
        <w:pageBreakBefore w:val="0"/>
        <w:widowControl w:val="0"/>
        <w:kinsoku/>
        <w:wordWrap/>
        <w:overflowPunct/>
        <w:topLinePunct w:val="0"/>
        <w:bidi w:val="0"/>
        <w:spacing w:line="57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七、一般公共预算“三公”经费支出情况表</w:t>
      </w:r>
    </w:p>
    <w:p>
      <w:pPr>
        <w:keepNext w:val="0"/>
        <w:keepLines w:val="0"/>
        <w:pageBreakBefore w:val="0"/>
        <w:widowControl w:val="0"/>
        <w:kinsoku/>
        <w:wordWrap/>
        <w:overflowPunct/>
        <w:topLinePunct w:val="0"/>
        <w:bidi w:val="0"/>
        <w:spacing w:line="57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八、政府性基金“三公”经费支出情况表</w:t>
      </w:r>
    </w:p>
    <w:p>
      <w:pPr>
        <w:keepNext w:val="0"/>
        <w:keepLines w:val="0"/>
        <w:pageBreakBefore w:val="0"/>
        <w:widowControl w:val="0"/>
        <w:kinsoku/>
        <w:wordWrap/>
        <w:overflowPunct/>
        <w:topLinePunct w:val="0"/>
        <w:bidi w:val="0"/>
        <w:spacing w:line="57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九、政府性基金预算支出情况表</w:t>
      </w:r>
    </w:p>
    <w:p>
      <w:pPr>
        <w:keepNext w:val="0"/>
        <w:keepLines w:val="0"/>
        <w:pageBreakBefore w:val="0"/>
        <w:widowControl w:val="0"/>
        <w:kinsoku/>
        <w:wordWrap/>
        <w:overflowPunct/>
        <w:topLinePunct w:val="0"/>
        <w:bidi w:val="0"/>
        <w:spacing w:line="57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十、政府购买服务预算表</w:t>
      </w:r>
    </w:p>
    <w:p>
      <w:pPr>
        <w:keepNext w:val="0"/>
        <w:keepLines w:val="0"/>
        <w:pageBreakBefore w:val="0"/>
        <w:widowControl w:val="0"/>
        <w:kinsoku/>
        <w:wordWrap/>
        <w:overflowPunct/>
        <w:topLinePunct w:val="0"/>
        <w:bidi w:val="0"/>
        <w:spacing w:line="57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十一、项目支出绩效表</w:t>
      </w:r>
    </w:p>
    <w:p>
      <w:pPr>
        <w:keepNext w:val="0"/>
        <w:keepLines w:val="0"/>
        <w:pageBreakBefore w:val="0"/>
        <w:widowControl w:val="0"/>
        <w:kinsoku/>
        <w:wordWrap/>
        <w:overflowPunct/>
        <w:topLinePunct w:val="0"/>
        <w:bidi w:val="0"/>
        <w:spacing w:line="570" w:lineRule="exact"/>
        <w:ind w:left="0" w:leftChars="0" w:right="0" w:rightChars="0"/>
        <w:textAlignment w:val="auto"/>
        <w:rPr>
          <w:rFonts w:hint="eastAsia" w:ascii="黑体" w:hAnsi="黑体" w:eastAsia="黑体" w:cs="黑体"/>
          <w:sz w:val="32"/>
          <w:szCs w:val="32"/>
        </w:rPr>
      </w:pPr>
      <w:r>
        <w:rPr>
          <w:rFonts w:hint="eastAsia" w:ascii="黑体" w:hAnsi="黑体" w:eastAsia="黑体" w:cs="黑体"/>
          <w:sz w:val="32"/>
          <w:szCs w:val="32"/>
        </w:rPr>
        <w:t>第三部分</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察隅县教育局202</w:t>
      </w:r>
      <w:r>
        <w:rPr>
          <w:rFonts w:hint="eastAsia" w:ascii="黑体" w:hAnsi="黑体" w:eastAsia="黑体" w:cs="黑体"/>
          <w:sz w:val="32"/>
          <w:szCs w:val="32"/>
          <w:lang w:val="en-US" w:eastAsia="zh-CN"/>
        </w:rPr>
        <w:t>3</w:t>
      </w:r>
      <w:r>
        <w:rPr>
          <w:rFonts w:hint="eastAsia" w:ascii="黑体" w:hAnsi="黑体" w:eastAsia="黑体" w:cs="黑体"/>
          <w:sz w:val="32"/>
          <w:szCs w:val="32"/>
        </w:rPr>
        <w:t>年度部门预算数据分析</w:t>
      </w:r>
    </w:p>
    <w:p>
      <w:pPr>
        <w:keepNext w:val="0"/>
        <w:keepLines w:val="0"/>
        <w:pageBreakBefore w:val="0"/>
        <w:widowControl w:val="0"/>
        <w:kinsoku/>
        <w:wordWrap/>
        <w:overflowPunct/>
        <w:topLinePunct w:val="0"/>
        <w:bidi w:val="0"/>
        <w:spacing w:line="570" w:lineRule="exact"/>
        <w:ind w:left="0" w:leftChars="0" w:right="0" w:rightChars="0"/>
        <w:textAlignment w:val="auto"/>
        <w:rPr>
          <w:rFonts w:hint="eastAsia" w:ascii="黑体" w:hAnsi="黑体" w:eastAsia="黑体" w:cs="黑体"/>
          <w:sz w:val="32"/>
          <w:szCs w:val="32"/>
        </w:rPr>
      </w:pPr>
      <w:r>
        <w:rPr>
          <w:rFonts w:hint="eastAsia" w:ascii="黑体" w:hAnsi="黑体" w:eastAsia="黑体" w:cs="黑体"/>
          <w:sz w:val="32"/>
          <w:szCs w:val="32"/>
        </w:rPr>
        <w:t>第四部分</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名词解释</w:t>
      </w:r>
    </w:p>
    <w:p>
      <w:pPr>
        <w:autoSpaceDE w:val="0"/>
        <w:autoSpaceDN w:val="0"/>
        <w:spacing w:after="0" w:line="560" w:lineRule="exac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p>
    <w:p>
      <w:pPr>
        <w:keepNext w:val="0"/>
        <w:keepLines w:val="0"/>
        <w:pageBreakBefore w:val="0"/>
        <w:widowControl w:val="0"/>
        <w:kinsoku/>
        <w:wordWrap/>
        <w:overflowPunct/>
        <w:topLinePunct w:val="0"/>
        <w:bidi w:val="0"/>
        <w:spacing w:line="570" w:lineRule="exact"/>
        <w:ind w:left="0" w:leftChars="0" w:right="0" w:rightChars="0"/>
        <w:textAlignment w:val="auto"/>
        <w:rPr>
          <w:rFonts w:ascii="仿宋" w:hAnsi="仿宋" w:eastAsia="仿宋"/>
          <w:sz w:val="32"/>
          <w:szCs w:val="32"/>
        </w:rPr>
      </w:pPr>
      <w:r>
        <w:rPr>
          <w:rFonts w:hint="eastAsia" w:ascii="仿宋_GB2312" w:hAnsi="宋体" w:eastAsia="仿宋_GB2312" w:cs="宋体"/>
          <w:sz w:val="32"/>
          <w:szCs w:val="32"/>
        </w:rPr>
        <w:t>察隅县</w:t>
      </w:r>
      <w:r>
        <w:rPr>
          <w:rFonts w:hint="eastAsia" w:ascii="仿宋_GB2312" w:hAnsi="宋体" w:eastAsia="仿宋_GB2312" w:cs="宋体"/>
          <w:sz w:val="32"/>
          <w:szCs w:val="32"/>
          <w:lang w:eastAsia="zh-CN"/>
        </w:rPr>
        <w:t>教育</w:t>
      </w:r>
      <w:r>
        <w:rPr>
          <w:rFonts w:hint="eastAsia" w:ascii="仿宋_GB2312" w:hAnsi="宋体" w:eastAsia="仿宋_GB2312" w:cs="宋体"/>
          <w:sz w:val="32"/>
          <w:szCs w:val="32"/>
        </w:rPr>
        <w:t>局（部门）202</w:t>
      </w:r>
      <w:r>
        <w:rPr>
          <w:rFonts w:hint="eastAsia" w:ascii="仿宋_GB2312" w:hAnsi="宋体" w:eastAsia="仿宋_GB2312" w:cs="宋体"/>
          <w:sz w:val="32"/>
          <w:szCs w:val="32"/>
          <w:lang w:val="en-US" w:eastAsia="zh-CN"/>
        </w:rPr>
        <w:t>3</w:t>
      </w:r>
      <w:r>
        <w:rPr>
          <w:rFonts w:hint="eastAsia" w:ascii="仿宋_GB2312" w:hAnsi="宋体" w:eastAsia="仿宋_GB2312" w:cs="宋体"/>
          <w:sz w:val="32"/>
          <w:szCs w:val="32"/>
        </w:rPr>
        <w:t>年度部门预算明细表（含十一张表）</w:t>
      </w:r>
    </w:p>
    <w:p>
      <w:pPr>
        <w:keepNext w:val="0"/>
        <w:keepLines w:val="0"/>
        <w:pageBreakBefore w:val="0"/>
        <w:widowControl w:val="0"/>
        <w:kinsoku/>
        <w:wordWrap/>
        <w:overflowPunct/>
        <w:topLinePunct w:val="0"/>
        <w:bidi w:val="0"/>
        <w:spacing w:line="570" w:lineRule="exact"/>
        <w:ind w:left="0" w:leftChars="0" w:right="0" w:rightChars="0"/>
        <w:textAlignment w:val="auto"/>
        <w:rPr>
          <w:rFonts w:ascii="仿宋" w:hAnsi="仿宋" w:eastAsia="仿宋"/>
          <w:sz w:val="32"/>
          <w:szCs w:val="32"/>
        </w:rPr>
      </w:pPr>
    </w:p>
    <w:p>
      <w:pPr>
        <w:keepNext w:val="0"/>
        <w:keepLines w:val="0"/>
        <w:pageBreakBefore w:val="0"/>
        <w:widowControl w:val="0"/>
        <w:kinsoku/>
        <w:wordWrap/>
        <w:overflowPunct/>
        <w:topLinePunct w:val="0"/>
        <w:bidi w:val="0"/>
        <w:spacing w:line="570" w:lineRule="exact"/>
        <w:ind w:left="0" w:leftChars="0" w:right="0" w:rightChars="0"/>
        <w:textAlignment w:val="auto"/>
        <w:rPr>
          <w:rFonts w:ascii="仿宋" w:hAnsi="仿宋" w:eastAsia="仿宋"/>
          <w:sz w:val="32"/>
          <w:szCs w:val="32"/>
        </w:rPr>
      </w:pPr>
    </w:p>
    <w:p>
      <w:pPr>
        <w:keepNext w:val="0"/>
        <w:keepLines w:val="0"/>
        <w:pageBreakBefore w:val="0"/>
        <w:widowControl w:val="0"/>
        <w:kinsoku/>
        <w:wordWrap/>
        <w:overflowPunct/>
        <w:topLinePunct w:val="0"/>
        <w:bidi w:val="0"/>
        <w:spacing w:line="570" w:lineRule="exact"/>
        <w:ind w:left="0" w:leftChars="0" w:right="0" w:rightChars="0"/>
        <w:jc w:val="center"/>
        <w:textAlignment w:val="auto"/>
        <w:rPr>
          <w:rFonts w:ascii="方正小标宋简体" w:hAnsi="仿宋" w:eastAsia="方正小标宋简体"/>
          <w:sz w:val="44"/>
          <w:szCs w:val="44"/>
        </w:rPr>
      </w:pPr>
      <w:r>
        <w:rPr>
          <w:rFonts w:hint="eastAsia" w:ascii="方正小标宋简体" w:hAnsi="仿宋" w:eastAsia="方正小标宋简体"/>
          <w:sz w:val="44"/>
          <w:szCs w:val="44"/>
        </w:rPr>
        <w:t>第一部分</w:t>
      </w:r>
      <w:r>
        <w:rPr>
          <w:rFonts w:hint="eastAsia" w:ascii="方正小标宋简体" w:hAnsi="仿宋" w:eastAsia="方正小标宋简体"/>
          <w:sz w:val="44"/>
          <w:szCs w:val="44"/>
          <w:lang w:val="en-US" w:eastAsia="zh-CN"/>
        </w:rPr>
        <w:t xml:space="preserve">  </w:t>
      </w:r>
      <w:r>
        <w:rPr>
          <w:rFonts w:hint="eastAsia" w:ascii="方正小标宋简体" w:hAnsi="仿宋" w:eastAsia="方正小标宋简体"/>
          <w:sz w:val="44"/>
          <w:szCs w:val="44"/>
        </w:rPr>
        <w:t>察隅县教育局概况</w:t>
      </w:r>
    </w:p>
    <w:p>
      <w:pPr>
        <w:keepNext w:val="0"/>
        <w:keepLines w:val="0"/>
        <w:pageBreakBefore w:val="0"/>
        <w:widowControl w:val="0"/>
        <w:kinsoku/>
        <w:wordWrap/>
        <w:overflowPunct/>
        <w:topLinePunct w:val="0"/>
        <w:bidi w:val="0"/>
        <w:spacing w:line="570" w:lineRule="exact"/>
        <w:ind w:left="0" w:leftChars="0" w:right="0" w:rightChars="0"/>
        <w:textAlignment w:val="auto"/>
        <w:rPr>
          <w:rFonts w:ascii="仿宋" w:hAnsi="仿宋" w:eastAsia="仿宋"/>
          <w:sz w:val="32"/>
          <w:szCs w:val="32"/>
        </w:rPr>
      </w:pPr>
    </w:p>
    <w:p>
      <w:pPr>
        <w:keepNext w:val="0"/>
        <w:keepLines w:val="0"/>
        <w:pageBreakBefore w:val="0"/>
        <w:widowControl w:val="0"/>
        <w:numPr>
          <w:ilvl w:val="0"/>
          <w:numId w:val="0"/>
        </w:numPr>
        <w:kinsoku/>
        <w:wordWrap/>
        <w:overflowPunct/>
        <w:topLinePunct w:val="0"/>
        <w:bidi w:val="0"/>
        <w:spacing w:line="570" w:lineRule="exact"/>
        <w:ind w:left="0" w:leftChars="0" w:right="0" w:rightChars="0" w:firstLine="640" w:firstLineChars="200"/>
        <w:textAlignment w:val="auto"/>
        <w:rPr>
          <w:rFonts w:ascii="黑体" w:hAnsi="黑体" w:eastAsia="黑体"/>
          <w:sz w:val="32"/>
          <w:szCs w:val="32"/>
        </w:rPr>
      </w:pPr>
      <w:r>
        <w:rPr>
          <w:rFonts w:hint="eastAsia" w:ascii="黑体" w:hAnsi="黑体" w:eastAsia="黑体"/>
          <w:sz w:val="32"/>
          <w:szCs w:val="32"/>
          <w:lang w:eastAsia="zh-CN"/>
        </w:rPr>
        <w:t>一、</w:t>
      </w:r>
      <w:r>
        <w:rPr>
          <w:rFonts w:hint="eastAsia" w:ascii="黑体" w:hAnsi="黑体" w:eastAsia="黑体"/>
          <w:sz w:val="32"/>
          <w:szCs w:val="32"/>
        </w:rPr>
        <w:t>主要职能</w:t>
      </w:r>
    </w:p>
    <w:p>
      <w:pPr>
        <w:pStyle w:val="12"/>
        <w:keepNext w:val="0"/>
        <w:keepLines w:val="0"/>
        <w:pageBreakBefore w:val="0"/>
        <w:widowControl w:val="0"/>
        <w:kinsoku/>
        <w:wordWrap/>
        <w:overflowPunct/>
        <w:topLinePunct w:val="0"/>
        <w:bidi w:val="0"/>
        <w:adjustRightInd w:val="0"/>
        <w:snapToGrid w:val="0"/>
        <w:spacing w:line="570" w:lineRule="exact"/>
        <w:ind w:left="0" w:leftChars="0" w:right="0" w:rightChars="0" w:firstLine="640" w:firstLineChars="200"/>
        <w:textAlignment w:val="auto"/>
        <w:rPr>
          <w:rFonts w:hint="eastAsia" w:ascii="仿宋_GB2312" w:hAnsi="仿宋_GB2312" w:eastAsia="仿宋_GB2312" w:cs="仿宋_GB2312"/>
          <w:bCs/>
          <w:szCs w:val="32"/>
        </w:rPr>
      </w:pPr>
      <w:r>
        <w:rPr>
          <w:rStyle w:val="13"/>
          <w:rFonts w:hint="eastAsia" w:ascii="仿宋_GB2312" w:hAnsi="仿宋_GB2312" w:eastAsia="仿宋_GB2312" w:cs="仿宋_GB2312"/>
          <w:b w:val="0"/>
          <w:bCs/>
          <w:szCs w:val="32"/>
        </w:rPr>
        <w:t>1</w:t>
      </w:r>
      <w:r>
        <w:rPr>
          <w:rStyle w:val="13"/>
          <w:rFonts w:hint="eastAsia" w:ascii="仿宋_GB2312" w:hAnsi="仿宋_GB2312" w:cs="仿宋_GB2312"/>
          <w:b w:val="0"/>
          <w:bCs/>
          <w:szCs w:val="32"/>
          <w:lang w:val="en-US" w:eastAsia="zh-CN"/>
        </w:rPr>
        <w:t>.</w:t>
      </w:r>
      <w:r>
        <w:rPr>
          <w:rFonts w:hint="eastAsia" w:ascii="仿宋_GB2312" w:hAnsi="仿宋_GB2312" w:eastAsia="仿宋_GB2312" w:cs="仿宋_GB2312"/>
          <w:bCs/>
          <w:szCs w:val="32"/>
        </w:rPr>
        <w:t>贯彻执行国家、自治区关于教育体育工作的方针政策和法律法规，拟订全县教育改革发展的政策和规划，起草规范性文件并组织实施，承担全县教育体育领域改革有关工作。</w:t>
      </w:r>
    </w:p>
    <w:p>
      <w:pPr>
        <w:pStyle w:val="12"/>
        <w:keepNext w:val="0"/>
        <w:keepLines w:val="0"/>
        <w:pageBreakBefore w:val="0"/>
        <w:widowControl w:val="0"/>
        <w:kinsoku/>
        <w:wordWrap/>
        <w:overflowPunct/>
        <w:topLinePunct w:val="0"/>
        <w:bidi w:val="0"/>
        <w:adjustRightInd w:val="0"/>
        <w:snapToGrid w:val="0"/>
        <w:spacing w:line="570" w:lineRule="exact"/>
        <w:ind w:left="0" w:leftChars="0" w:right="0" w:rightChars="0" w:firstLine="640" w:firstLineChars="200"/>
        <w:textAlignment w:val="auto"/>
        <w:rPr>
          <w:rStyle w:val="13"/>
          <w:rFonts w:hint="eastAsia" w:ascii="仿宋_GB2312" w:hAnsi="仿宋_GB2312" w:eastAsia="仿宋_GB2312" w:cs="仿宋_GB2312"/>
          <w:b w:val="0"/>
          <w:bCs/>
          <w:szCs w:val="32"/>
        </w:rPr>
      </w:pPr>
      <w:r>
        <w:rPr>
          <w:rStyle w:val="13"/>
          <w:rFonts w:hint="eastAsia" w:ascii="仿宋_GB2312" w:hAnsi="仿宋_GB2312" w:eastAsia="仿宋_GB2312" w:cs="仿宋_GB2312"/>
          <w:b w:val="0"/>
          <w:bCs/>
          <w:szCs w:val="32"/>
        </w:rPr>
        <w:t>2</w:t>
      </w:r>
      <w:r>
        <w:rPr>
          <w:rStyle w:val="13"/>
          <w:rFonts w:hint="eastAsia" w:ascii="仿宋_GB2312" w:hAnsi="仿宋_GB2312" w:cs="仿宋_GB2312"/>
          <w:b w:val="0"/>
          <w:bCs/>
          <w:szCs w:val="32"/>
          <w:lang w:val="en-US" w:eastAsia="zh-CN"/>
        </w:rPr>
        <w:t>.</w:t>
      </w:r>
      <w:r>
        <w:rPr>
          <w:rStyle w:val="13"/>
          <w:rFonts w:hint="eastAsia" w:ascii="仿宋_GB2312" w:hAnsi="仿宋_GB2312" w:eastAsia="仿宋_GB2312" w:cs="仿宋_GB2312"/>
          <w:b w:val="0"/>
          <w:bCs/>
          <w:szCs w:val="32"/>
        </w:rPr>
        <w:t>负责全县教育领域党的建设和意识形态工作，指导教育系统精神文明建设和群团工作，指导各级各类学校的思想政治和德育、体育、美育、劳动教育工作。</w:t>
      </w:r>
    </w:p>
    <w:p>
      <w:pPr>
        <w:pStyle w:val="12"/>
        <w:keepNext w:val="0"/>
        <w:keepLines w:val="0"/>
        <w:pageBreakBefore w:val="0"/>
        <w:widowControl w:val="0"/>
        <w:kinsoku/>
        <w:wordWrap/>
        <w:overflowPunct/>
        <w:topLinePunct w:val="0"/>
        <w:bidi w:val="0"/>
        <w:adjustRightInd w:val="0"/>
        <w:snapToGrid w:val="0"/>
        <w:spacing w:line="570" w:lineRule="exact"/>
        <w:ind w:left="0" w:leftChars="0" w:right="0" w:rightChars="0" w:firstLine="640" w:firstLineChars="200"/>
        <w:textAlignment w:val="auto"/>
        <w:rPr>
          <w:rStyle w:val="13"/>
          <w:rFonts w:hint="eastAsia" w:ascii="仿宋_GB2312" w:hAnsi="仿宋_GB2312" w:eastAsia="仿宋_GB2312" w:cs="仿宋_GB2312"/>
          <w:b w:val="0"/>
          <w:bCs/>
          <w:szCs w:val="32"/>
        </w:rPr>
      </w:pPr>
      <w:r>
        <w:rPr>
          <w:rStyle w:val="13"/>
          <w:rFonts w:hint="eastAsia" w:ascii="仿宋_GB2312" w:hAnsi="仿宋_GB2312" w:eastAsia="仿宋_GB2312" w:cs="仿宋_GB2312"/>
          <w:b w:val="0"/>
          <w:bCs/>
          <w:szCs w:val="32"/>
        </w:rPr>
        <w:t>3</w:t>
      </w:r>
      <w:r>
        <w:rPr>
          <w:rStyle w:val="13"/>
          <w:rFonts w:hint="eastAsia" w:ascii="仿宋_GB2312" w:hAnsi="仿宋_GB2312" w:cs="仿宋_GB2312"/>
          <w:b w:val="0"/>
          <w:bCs/>
          <w:szCs w:val="32"/>
          <w:lang w:val="en-US" w:eastAsia="zh-CN"/>
        </w:rPr>
        <w:t>.</w:t>
      </w:r>
      <w:r>
        <w:rPr>
          <w:rStyle w:val="13"/>
          <w:rFonts w:hint="eastAsia" w:ascii="仿宋_GB2312" w:hAnsi="仿宋_GB2312" w:eastAsia="仿宋_GB2312" w:cs="仿宋_GB2312"/>
          <w:b w:val="0"/>
          <w:bCs/>
          <w:szCs w:val="32"/>
        </w:rPr>
        <w:t>负责本行业领域安全生产监督管理和应急处置工作，指导各级各类学校稳定安全工作,协同有关部门做好校园周边社会治安综合治理工作，指导学校安全教育和学生预防违法犯罪工作，指导校园网络安全监管工作，会同有关部门指导监督学校食品安全、疾病防控等卫生安全工作。</w:t>
      </w:r>
    </w:p>
    <w:p>
      <w:pPr>
        <w:pStyle w:val="12"/>
        <w:keepNext w:val="0"/>
        <w:keepLines w:val="0"/>
        <w:pageBreakBefore w:val="0"/>
        <w:widowControl w:val="0"/>
        <w:kinsoku/>
        <w:wordWrap/>
        <w:overflowPunct/>
        <w:topLinePunct w:val="0"/>
        <w:bidi w:val="0"/>
        <w:adjustRightInd w:val="0"/>
        <w:snapToGrid w:val="0"/>
        <w:spacing w:line="570" w:lineRule="exact"/>
        <w:ind w:left="0" w:leftChars="0" w:right="0" w:rightChars="0" w:firstLine="640" w:firstLineChars="200"/>
        <w:textAlignment w:val="auto"/>
        <w:rPr>
          <w:rStyle w:val="13"/>
          <w:rFonts w:hint="eastAsia" w:ascii="仿宋_GB2312" w:hAnsi="仿宋_GB2312" w:eastAsia="仿宋_GB2312" w:cs="仿宋_GB2312"/>
          <w:b w:val="0"/>
          <w:bCs/>
          <w:szCs w:val="32"/>
        </w:rPr>
      </w:pPr>
      <w:r>
        <w:rPr>
          <w:rStyle w:val="13"/>
          <w:rFonts w:hint="eastAsia" w:ascii="仿宋_GB2312" w:hAnsi="仿宋_GB2312" w:eastAsia="仿宋_GB2312" w:cs="仿宋_GB2312"/>
          <w:b w:val="0"/>
          <w:bCs/>
          <w:szCs w:val="32"/>
        </w:rPr>
        <w:t>4</w:t>
      </w:r>
      <w:r>
        <w:rPr>
          <w:rStyle w:val="13"/>
          <w:rFonts w:hint="eastAsia" w:ascii="仿宋_GB2312" w:hAnsi="仿宋_GB2312" w:cs="仿宋_GB2312"/>
          <w:b w:val="0"/>
          <w:bCs/>
          <w:szCs w:val="32"/>
          <w:lang w:val="en-US" w:eastAsia="zh-CN"/>
        </w:rPr>
        <w:t>.</w:t>
      </w:r>
      <w:r>
        <w:rPr>
          <w:rStyle w:val="13"/>
          <w:rFonts w:hint="eastAsia" w:ascii="仿宋_GB2312" w:hAnsi="仿宋_GB2312" w:eastAsia="仿宋_GB2312" w:cs="仿宋_GB2312"/>
          <w:b w:val="0"/>
          <w:bCs/>
          <w:szCs w:val="32"/>
        </w:rPr>
        <w:t>负责全县基础教育（含学前教育）的统筹规划和协调管理，负责教育系统人才队伍建设，主管全县教师工作。负责教师管理、调配和引进工作，组织指导教师培养、培训、考核工作，指导教师发展中心教育教学改革和培训工作，负责协助上级部门内地班（校）藏文教师选派、培训、考核和管理,承担教育工会日常工作。</w:t>
      </w:r>
    </w:p>
    <w:p>
      <w:pPr>
        <w:pStyle w:val="12"/>
        <w:keepNext w:val="0"/>
        <w:keepLines w:val="0"/>
        <w:pageBreakBefore w:val="0"/>
        <w:widowControl w:val="0"/>
        <w:kinsoku/>
        <w:wordWrap/>
        <w:overflowPunct/>
        <w:topLinePunct w:val="0"/>
        <w:bidi w:val="0"/>
        <w:adjustRightInd w:val="0"/>
        <w:snapToGrid w:val="0"/>
        <w:spacing w:line="570" w:lineRule="exact"/>
        <w:ind w:left="0" w:leftChars="0" w:right="0" w:rightChars="0" w:firstLine="640" w:firstLineChars="200"/>
        <w:textAlignment w:val="auto"/>
        <w:rPr>
          <w:rStyle w:val="13"/>
          <w:rFonts w:hint="eastAsia" w:ascii="仿宋_GB2312" w:hAnsi="仿宋_GB2312" w:eastAsia="仿宋_GB2312" w:cs="仿宋_GB2312"/>
          <w:b w:val="0"/>
          <w:bCs/>
          <w:szCs w:val="32"/>
        </w:rPr>
      </w:pPr>
      <w:r>
        <w:rPr>
          <w:rStyle w:val="13"/>
          <w:rFonts w:hint="eastAsia" w:ascii="仿宋_GB2312" w:hAnsi="仿宋_GB2312" w:eastAsia="仿宋_GB2312" w:cs="仿宋_GB2312"/>
          <w:b w:val="0"/>
          <w:bCs/>
          <w:szCs w:val="32"/>
        </w:rPr>
        <w:t>5</w:t>
      </w:r>
      <w:r>
        <w:rPr>
          <w:rStyle w:val="13"/>
          <w:rFonts w:hint="eastAsia" w:ascii="仿宋_GB2312" w:hAnsi="仿宋_GB2312" w:cs="仿宋_GB2312"/>
          <w:b w:val="0"/>
          <w:bCs/>
          <w:szCs w:val="32"/>
          <w:lang w:val="en-US" w:eastAsia="zh-CN"/>
        </w:rPr>
        <w:t>.</w:t>
      </w:r>
      <w:r>
        <w:rPr>
          <w:rStyle w:val="13"/>
          <w:rFonts w:hint="eastAsia" w:ascii="仿宋_GB2312" w:hAnsi="仿宋_GB2312" w:eastAsia="仿宋_GB2312" w:cs="仿宋_GB2312"/>
          <w:b w:val="0"/>
          <w:bCs/>
          <w:szCs w:val="32"/>
        </w:rPr>
        <w:t>统筹管理全县各级各类教育的课程和教材工作，监督实施国家课程设置方案和课程标准，制定完善教材建设基础制度规范，承担学校教学用书管理工作。组织指导教育科学研究工作，承担全县教育信息化建设和教育统计工作。</w:t>
      </w:r>
    </w:p>
    <w:p>
      <w:pPr>
        <w:pStyle w:val="12"/>
        <w:keepNext w:val="0"/>
        <w:keepLines w:val="0"/>
        <w:pageBreakBefore w:val="0"/>
        <w:widowControl w:val="0"/>
        <w:kinsoku/>
        <w:wordWrap/>
        <w:overflowPunct/>
        <w:topLinePunct w:val="0"/>
        <w:bidi w:val="0"/>
        <w:adjustRightInd w:val="0"/>
        <w:snapToGrid w:val="0"/>
        <w:spacing w:line="570" w:lineRule="exact"/>
        <w:ind w:left="0" w:leftChars="0" w:right="0" w:rightChars="0" w:firstLine="640" w:firstLineChars="200"/>
        <w:textAlignment w:val="auto"/>
        <w:rPr>
          <w:rStyle w:val="13"/>
          <w:rFonts w:hint="eastAsia" w:ascii="仿宋_GB2312" w:hAnsi="仿宋_GB2312" w:eastAsia="仿宋_GB2312" w:cs="仿宋_GB2312"/>
          <w:b w:val="0"/>
          <w:bCs/>
          <w:szCs w:val="32"/>
        </w:rPr>
      </w:pPr>
      <w:r>
        <w:rPr>
          <w:rStyle w:val="13"/>
          <w:rFonts w:hint="eastAsia" w:ascii="仿宋_GB2312" w:hAnsi="仿宋_GB2312" w:eastAsia="仿宋_GB2312" w:cs="仿宋_GB2312"/>
          <w:b w:val="0"/>
          <w:bCs/>
          <w:szCs w:val="32"/>
        </w:rPr>
        <w:t>6</w:t>
      </w:r>
      <w:r>
        <w:rPr>
          <w:rStyle w:val="13"/>
          <w:rFonts w:hint="eastAsia" w:ascii="仿宋_GB2312" w:hAnsi="仿宋_GB2312" w:cs="仿宋_GB2312"/>
          <w:b w:val="0"/>
          <w:bCs/>
          <w:szCs w:val="32"/>
          <w:lang w:val="en-US" w:eastAsia="zh-CN"/>
        </w:rPr>
        <w:t>.</w:t>
      </w:r>
      <w:r>
        <w:rPr>
          <w:rStyle w:val="13"/>
          <w:rFonts w:hint="eastAsia" w:ascii="仿宋_GB2312" w:hAnsi="仿宋_GB2312" w:eastAsia="仿宋_GB2312" w:cs="仿宋_GB2312"/>
          <w:b w:val="0"/>
          <w:bCs/>
          <w:szCs w:val="32"/>
        </w:rPr>
        <w:t>组织实施自治区教育考试招生政策，协助内地西藏班招生录取工作，协助做好内地西藏班日常管理。负责在全县学生管理工作，负责本县学校学籍管理工作，协助做好创新创业教育和就业工作。</w:t>
      </w:r>
    </w:p>
    <w:p>
      <w:pPr>
        <w:pStyle w:val="12"/>
        <w:keepNext w:val="0"/>
        <w:keepLines w:val="0"/>
        <w:pageBreakBefore w:val="0"/>
        <w:widowControl w:val="0"/>
        <w:kinsoku/>
        <w:wordWrap/>
        <w:overflowPunct/>
        <w:topLinePunct w:val="0"/>
        <w:bidi w:val="0"/>
        <w:adjustRightInd w:val="0"/>
        <w:snapToGrid w:val="0"/>
        <w:spacing w:line="570" w:lineRule="exact"/>
        <w:ind w:left="0" w:leftChars="0" w:right="0" w:rightChars="0" w:firstLine="640" w:firstLineChars="200"/>
        <w:textAlignment w:val="auto"/>
        <w:rPr>
          <w:rStyle w:val="13"/>
          <w:rFonts w:hint="eastAsia" w:ascii="仿宋_GB2312" w:hAnsi="仿宋_GB2312" w:eastAsia="仿宋_GB2312" w:cs="仿宋_GB2312"/>
          <w:b w:val="0"/>
          <w:bCs/>
          <w:szCs w:val="32"/>
        </w:rPr>
      </w:pPr>
      <w:r>
        <w:rPr>
          <w:rStyle w:val="13"/>
          <w:rFonts w:hint="eastAsia" w:ascii="仿宋_GB2312" w:hAnsi="仿宋_GB2312" w:eastAsia="仿宋_GB2312" w:cs="仿宋_GB2312"/>
          <w:b w:val="0"/>
          <w:bCs/>
          <w:szCs w:val="32"/>
        </w:rPr>
        <w:t>7</w:t>
      </w:r>
      <w:r>
        <w:rPr>
          <w:rStyle w:val="13"/>
          <w:rFonts w:hint="eastAsia" w:ascii="仿宋_GB2312" w:hAnsi="仿宋_GB2312" w:cs="仿宋_GB2312"/>
          <w:b w:val="0"/>
          <w:bCs/>
          <w:szCs w:val="32"/>
          <w:lang w:val="en-US" w:eastAsia="zh-CN"/>
        </w:rPr>
        <w:t>.</w:t>
      </w:r>
      <w:r>
        <w:rPr>
          <w:rStyle w:val="13"/>
          <w:rFonts w:hint="eastAsia" w:ascii="仿宋_GB2312" w:hAnsi="仿宋_GB2312" w:eastAsia="仿宋_GB2312" w:cs="仿宋_GB2312"/>
          <w:b w:val="0"/>
          <w:bCs/>
          <w:szCs w:val="32"/>
        </w:rPr>
        <w:t>贯彻落实各级各类教育经费政策，监督检查教育经费预算执行和教育经费规范使用，管理县级教育经费和教育国有资产，负责学生资助工作。负责“三包”集中核算工作，负责衔接教育体育援藏项目规划落实，承担教育扶贫相关工作。</w:t>
      </w:r>
    </w:p>
    <w:p>
      <w:pPr>
        <w:pStyle w:val="12"/>
        <w:keepNext w:val="0"/>
        <w:keepLines w:val="0"/>
        <w:pageBreakBefore w:val="0"/>
        <w:widowControl w:val="0"/>
        <w:kinsoku/>
        <w:wordWrap/>
        <w:overflowPunct/>
        <w:topLinePunct w:val="0"/>
        <w:bidi w:val="0"/>
        <w:adjustRightInd w:val="0"/>
        <w:snapToGrid w:val="0"/>
        <w:spacing w:line="570" w:lineRule="exact"/>
        <w:ind w:left="0" w:leftChars="0" w:right="0" w:rightChars="0" w:firstLine="640" w:firstLineChars="200"/>
        <w:textAlignment w:val="auto"/>
        <w:rPr>
          <w:rStyle w:val="13"/>
          <w:rFonts w:hint="eastAsia" w:ascii="仿宋_GB2312" w:hAnsi="仿宋_GB2312" w:eastAsia="仿宋_GB2312" w:cs="仿宋_GB2312"/>
          <w:b w:val="0"/>
          <w:bCs/>
          <w:szCs w:val="32"/>
        </w:rPr>
      </w:pPr>
      <w:r>
        <w:rPr>
          <w:rStyle w:val="13"/>
          <w:rFonts w:hint="eastAsia" w:ascii="仿宋_GB2312" w:hAnsi="仿宋_GB2312" w:eastAsia="仿宋_GB2312" w:cs="仿宋_GB2312"/>
          <w:b w:val="0"/>
          <w:bCs/>
          <w:szCs w:val="32"/>
        </w:rPr>
        <w:t>8</w:t>
      </w:r>
      <w:r>
        <w:rPr>
          <w:rStyle w:val="13"/>
          <w:rFonts w:hint="eastAsia" w:ascii="仿宋_GB2312" w:hAnsi="仿宋_GB2312" w:cs="仿宋_GB2312"/>
          <w:b w:val="0"/>
          <w:bCs/>
          <w:szCs w:val="32"/>
          <w:lang w:val="en-US" w:eastAsia="zh-CN"/>
        </w:rPr>
        <w:t>.</w:t>
      </w:r>
      <w:r>
        <w:rPr>
          <w:rStyle w:val="13"/>
          <w:rFonts w:hint="eastAsia" w:ascii="仿宋_GB2312" w:hAnsi="仿宋_GB2312" w:eastAsia="仿宋_GB2312" w:cs="仿宋_GB2312"/>
          <w:b w:val="0"/>
          <w:bCs/>
          <w:szCs w:val="32"/>
        </w:rPr>
        <w:t>贯彻执行国家和自治区的语言文字工作方针政策，负责国家通用语言文字教育和推广工作，指导各级各类学校“双语”教育工作。</w:t>
      </w:r>
    </w:p>
    <w:p>
      <w:pPr>
        <w:pStyle w:val="12"/>
        <w:keepNext w:val="0"/>
        <w:keepLines w:val="0"/>
        <w:pageBreakBefore w:val="0"/>
        <w:widowControl w:val="0"/>
        <w:kinsoku/>
        <w:wordWrap/>
        <w:overflowPunct/>
        <w:topLinePunct w:val="0"/>
        <w:bidi w:val="0"/>
        <w:adjustRightInd w:val="0"/>
        <w:snapToGrid w:val="0"/>
        <w:spacing w:line="570" w:lineRule="exact"/>
        <w:ind w:left="0" w:leftChars="0" w:right="0" w:rightChars="0" w:firstLine="640" w:firstLineChars="200"/>
        <w:textAlignment w:val="auto"/>
        <w:rPr>
          <w:rStyle w:val="13"/>
          <w:rFonts w:hint="eastAsia" w:ascii="仿宋_GB2312" w:hAnsi="仿宋_GB2312" w:eastAsia="仿宋_GB2312" w:cs="仿宋_GB2312"/>
          <w:b w:val="0"/>
          <w:bCs/>
          <w:szCs w:val="32"/>
        </w:rPr>
      </w:pPr>
      <w:r>
        <w:rPr>
          <w:rStyle w:val="13"/>
          <w:rFonts w:hint="eastAsia" w:ascii="仿宋_GB2312" w:hAnsi="仿宋_GB2312" w:eastAsia="仿宋_GB2312" w:cs="仿宋_GB2312"/>
          <w:b w:val="0"/>
          <w:bCs/>
          <w:szCs w:val="32"/>
        </w:rPr>
        <w:t>9</w:t>
      </w:r>
      <w:r>
        <w:rPr>
          <w:rStyle w:val="13"/>
          <w:rFonts w:hint="eastAsia" w:ascii="仿宋_GB2312" w:hAnsi="仿宋_GB2312" w:cs="仿宋_GB2312"/>
          <w:b w:val="0"/>
          <w:bCs/>
          <w:szCs w:val="32"/>
          <w:lang w:val="en-US" w:eastAsia="zh-CN"/>
        </w:rPr>
        <w:t>.</w:t>
      </w:r>
      <w:r>
        <w:rPr>
          <w:rStyle w:val="13"/>
          <w:rFonts w:hint="eastAsia" w:ascii="仿宋_GB2312" w:hAnsi="仿宋_GB2312" w:eastAsia="仿宋_GB2312" w:cs="仿宋_GB2312"/>
          <w:b w:val="0"/>
          <w:bCs/>
          <w:szCs w:val="32"/>
        </w:rPr>
        <w:t>承担县人民政府教育督导工作，负责各级各类教育督导检查和评估验收工作，负责督政督学和质量监测工作。</w:t>
      </w:r>
    </w:p>
    <w:p>
      <w:pPr>
        <w:pStyle w:val="12"/>
        <w:keepNext w:val="0"/>
        <w:keepLines w:val="0"/>
        <w:pageBreakBefore w:val="0"/>
        <w:widowControl w:val="0"/>
        <w:kinsoku/>
        <w:wordWrap/>
        <w:overflowPunct/>
        <w:topLinePunct w:val="0"/>
        <w:bidi w:val="0"/>
        <w:adjustRightInd w:val="0"/>
        <w:snapToGrid w:val="0"/>
        <w:spacing w:line="570" w:lineRule="exact"/>
        <w:ind w:left="0" w:leftChars="0" w:right="0" w:rightChars="0" w:firstLine="640" w:firstLineChars="200"/>
        <w:textAlignment w:val="auto"/>
        <w:rPr>
          <w:rStyle w:val="13"/>
          <w:rFonts w:hint="eastAsia" w:ascii="仿宋_GB2312" w:hAnsi="仿宋_GB2312" w:eastAsia="仿宋_GB2312" w:cs="仿宋_GB2312"/>
          <w:b w:val="0"/>
          <w:bCs/>
          <w:szCs w:val="32"/>
        </w:rPr>
      </w:pPr>
      <w:r>
        <w:rPr>
          <w:rStyle w:val="13"/>
          <w:rFonts w:hint="eastAsia" w:ascii="仿宋_GB2312" w:hAnsi="仿宋_GB2312" w:eastAsia="仿宋_GB2312" w:cs="仿宋_GB2312"/>
          <w:b w:val="0"/>
          <w:bCs/>
          <w:szCs w:val="32"/>
        </w:rPr>
        <w:t>10</w:t>
      </w:r>
      <w:r>
        <w:rPr>
          <w:rStyle w:val="13"/>
          <w:rFonts w:hint="eastAsia" w:ascii="仿宋_GB2312" w:hAnsi="仿宋_GB2312" w:cs="仿宋_GB2312"/>
          <w:b w:val="0"/>
          <w:bCs/>
          <w:szCs w:val="32"/>
          <w:lang w:val="en-US" w:eastAsia="zh-CN"/>
        </w:rPr>
        <w:t>.</w:t>
      </w:r>
      <w:r>
        <w:rPr>
          <w:rStyle w:val="13"/>
          <w:rFonts w:hint="eastAsia" w:ascii="仿宋_GB2312" w:hAnsi="仿宋_GB2312" w:eastAsia="仿宋_GB2312" w:cs="仿宋_GB2312"/>
          <w:b w:val="0"/>
          <w:bCs/>
          <w:szCs w:val="32"/>
        </w:rPr>
        <w:t>组织指导全县教育对外交流与合作，负责教育受援工作，协助做好内地办学有关工作。</w:t>
      </w:r>
    </w:p>
    <w:p>
      <w:pPr>
        <w:pStyle w:val="12"/>
        <w:keepNext w:val="0"/>
        <w:keepLines w:val="0"/>
        <w:pageBreakBefore w:val="0"/>
        <w:widowControl w:val="0"/>
        <w:kinsoku/>
        <w:wordWrap/>
        <w:overflowPunct/>
        <w:topLinePunct w:val="0"/>
        <w:bidi w:val="0"/>
        <w:adjustRightInd w:val="0"/>
        <w:snapToGrid w:val="0"/>
        <w:spacing w:line="570" w:lineRule="exact"/>
        <w:ind w:left="0" w:leftChars="0" w:right="0" w:rightChars="0" w:firstLine="640" w:firstLineChars="200"/>
        <w:textAlignment w:val="auto"/>
        <w:rPr>
          <w:rStyle w:val="13"/>
          <w:rFonts w:hint="eastAsia" w:ascii="仿宋_GB2312" w:hAnsi="仿宋_GB2312" w:eastAsia="仿宋_GB2312" w:cs="仿宋_GB2312"/>
          <w:b w:val="0"/>
          <w:bCs/>
          <w:szCs w:val="32"/>
        </w:rPr>
      </w:pPr>
      <w:r>
        <w:rPr>
          <w:rStyle w:val="13"/>
          <w:rFonts w:hint="eastAsia" w:ascii="仿宋_GB2312" w:hAnsi="仿宋_GB2312" w:eastAsia="仿宋_GB2312" w:cs="仿宋_GB2312"/>
          <w:b w:val="0"/>
          <w:bCs/>
          <w:szCs w:val="32"/>
        </w:rPr>
        <w:t>1</w:t>
      </w:r>
      <w:r>
        <w:rPr>
          <w:rStyle w:val="13"/>
          <w:rFonts w:hint="eastAsia" w:ascii="仿宋_GB2312" w:hAnsi="仿宋_GB2312" w:cs="仿宋_GB2312"/>
          <w:b w:val="0"/>
          <w:bCs/>
          <w:szCs w:val="32"/>
          <w:lang w:val="en-US" w:eastAsia="zh-CN"/>
        </w:rPr>
        <w:t>1.</w:t>
      </w:r>
      <w:r>
        <w:rPr>
          <w:rStyle w:val="13"/>
          <w:rFonts w:hint="eastAsia" w:ascii="仿宋_GB2312" w:hAnsi="仿宋_GB2312" w:eastAsia="仿宋_GB2312" w:cs="仿宋_GB2312"/>
          <w:b w:val="0"/>
          <w:bCs/>
          <w:szCs w:val="32"/>
        </w:rPr>
        <w:t>统筹规划群众体育和青少年体育发展，负责推行全民健身计划，建立完善全民健身服务体系，组织开展全民健身活动。</w:t>
      </w:r>
    </w:p>
    <w:p>
      <w:pPr>
        <w:pStyle w:val="12"/>
        <w:keepNext w:val="0"/>
        <w:keepLines w:val="0"/>
        <w:pageBreakBefore w:val="0"/>
        <w:widowControl w:val="0"/>
        <w:kinsoku/>
        <w:wordWrap/>
        <w:overflowPunct/>
        <w:topLinePunct w:val="0"/>
        <w:bidi w:val="0"/>
        <w:adjustRightInd w:val="0"/>
        <w:snapToGrid w:val="0"/>
        <w:spacing w:line="570" w:lineRule="exact"/>
        <w:ind w:left="0" w:leftChars="0" w:right="0" w:rightChars="0" w:firstLine="640" w:firstLineChars="200"/>
        <w:textAlignment w:val="auto"/>
        <w:rPr>
          <w:rStyle w:val="13"/>
          <w:rFonts w:hint="eastAsia" w:ascii="仿宋_GB2312" w:hAnsi="仿宋_GB2312" w:eastAsia="仿宋_GB2312" w:cs="仿宋_GB2312"/>
          <w:b w:val="0"/>
          <w:bCs/>
          <w:szCs w:val="32"/>
        </w:rPr>
      </w:pPr>
      <w:r>
        <w:rPr>
          <w:rStyle w:val="13"/>
          <w:rFonts w:hint="eastAsia" w:ascii="仿宋_GB2312" w:hAnsi="仿宋_GB2312" w:eastAsia="仿宋_GB2312" w:cs="仿宋_GB2312"/>
          <w:b w:val="0"/>
          <w:bCs/>
          <w:szCs w:val="32"/>
        </w:rPr>
        <w:t>12</w:t>
      </w:r>
      <w:r>
        <w:rPr>
          <w:rStyle w:val="13"/>
          <w:rFonts w:hint="eastAsia" w:ascii="仿宋_GB2312" w:hAnsi="仿宋_GB2312" w:cs="仿宋_GB2312"/>
          <w:b w:val="0"/>
          <w:bCs/>
          <w:szCs w:val="32"/>
          <w:lang w:val="en-US" w:eastAsia="zh-CN"/>
        </w:rPr>
        <w:t>.</w:t>
      </w:r>
      <w:r>
        <w:rPr>
          <w:rStyle w:val="13"/>
          <w:rFonts w:hint="eastAsia" w:ascii="仿宋_GB2312" w:hAnsi="仿宋_GB2312" w:eastAsia="仿宋_GB2312" w:cs="仿宋_GB2312"/>
          <w:b w:val="0"/>
          <w:bCs/>
          <w:szCs w:val="32"/>
        </w:rPr>
        <w:t>负责公共体育设施的监督管理，指导、组织、协调全县体育训练、竞赛和运动队伍建设工作，负责公共体育设施的监督管理。</w:t>
      </w:r>
    </w:p>
    <w:p>
      <w:pPr>
        <w:pStyle w:val="12"/>
        <w:keepNext w:val="0"/>
        <w:keepLines w:val="0"/>
        <w:pageBreakBefore w:val="0"/>
        <w:widowControl w:val="0"/>
        <w:kinsoku/>
        <w:wordWrap/>
        <w:overflowPunct/>
        <w:topLinePunct w:val="0"/>
        <w:bidi w:val="0"/>
        <w:adjustRightInd w:val="0"/>
        <w:snapToGrid w:val="0"/>
        <w:spacing w:line="570" w:lineRule="exact"/>
        <w:ind w:left="0" w:leftChars="0" w:right="0" w:rightChars="0" w:firstLine="640" w:firstLineChars="200"/>
        <w:textAlignment w:val="auto"/>
        <w:rPr>
          <w:rStyle w:val="13"/>
          <w:rFonts w:hint="eastAsia" w:ascii="仿宋_GB2312" w:hAnsi="仿宋_GB2312" w:eastAsia="仿宋_GB2312" w:cs="仿宋_GB2312"/>
          <w:b w:val="0"/>
          <w:bCs/>
          <w:szCs w:val="32"/>
        </w:rPr>
      </w:pPr>
      <w:r>
        <w:rPr>
          <w:rStyle w:val="13"/>
          <w:rFonts w:hint="eastAsia" w:ascii="仿宋_GB2312" w:hAnsi="仿宋_GB2312" w:eastAsia="仿宋_GB2312" w:cs="仿宋_GB2312"/>
          <w:b w:val="0"/>
          <w:bCs/>
          <w:szCs w:val="32"/>
        </w:rPr>
        <w:t>13</w:t>
      </w:r>
      <w:r>
        <w:rPr>
          <w:rStyle w:val="13"/>
          <w:rFonts w:hint="eastAsia" w:ascii="仿宋_GB2312" w:hAnsi="仿宋_GB2312" w:cs="仿宋_GB2312"/>
          <w:b w:val="0"/>
          <w:bCs/>
          <w:szCs w:val="32"/>
          <w:lang w:val="en-US" w:eastAsia="zh-CN"/>
        </w:rPr>
        <w:t>.</w:t>
      </w:r>
      <w:r>
        <w:rPr>
          <w:rStyle w:val="13"/>
          <w:rFonts w:hint="eastAsia" w:ascii="仿宋_GB2312" w:hAnsi="仿宋_GB2312" w:eastAsia="仿宋_GB2312" w:cs="仿宋_GB2312"/>
          <w:b w:val="0"/>
          <w:bCs/>
          <w:szCs w:val="32"/>
        </w:rPr>
        <w:t>实施国家和自治区体育锻炼标准，推动国民体质监测和社会体育指导工作队伍制度建设。</w:t>
      </w:r>
    </w:p>
    <w:p>
      <w:pPr>
        <w:pStyle w:val="12"/>
        <w:keepNext w:val="0"/>
        <w:keepLines w:val="0"/>
        <w:pageBreakBefore w:val="0"/>
        <w:widowControl w:val="0"/>
        <w:kinsoku/>
        <w:wordWrap/>
        <w:overflowPunct/>
        <w:topLinePunct w:val="0"/>
        <w:bidi w:val="0"/>
        <w:adjustRightInd w:val="0"/>
        <w:snapToGrid w:val="0"/>
        <w:spacing w:line="570" w:lineRule="exact"/>
        <w:ind w:left="0" w:leftChars="0" w:right="0" w:rightChars="0" w:firstLine="640" w:firstLineChars="200"/>
        <w:textAlignment w:val="auto"/>
        <w:rPr>
          <w:rStyle w:val="13"/>
          <w:rFonts w:hint="eastAsia" w:ascii="仿宋_GB2312" w:hAnsi="仿宋_GB2312" w:eastAsia="仿宋_GB2312" w:cs="仿宋_GB2312"/>
          <w:b w:val="0"/>
          <w:bCs/>
          <w:szCs w:val="32"/>
        </w:rPr>
      </w:pPr>
      <w:r>
        <w:rPr>
          <w:rStyle w:val="13"/>
          <w:rFonts w:hint="eastAsia" w:ascii="仿宋_GB2312" w:hAnsi="仿宋_GB2312" w:eastAsia="仿宋_GB2312" w:cs="仿宋_GB2312"/>
          <w:b w:val="0"/>
          <w:bCs/>
          <w:szCs w:val="32"/>
        </w:rPr>
        <w:t>14</w:t>
      </w:r>
      <w:r>
        <w:rPr>
          <w:rStyle w:val="13"/>
          <w:rFonts w:hint="eastAsia" w:ascii="仿宋_GB2312" w:hAnsi="仿宋_GB2312" w:cs="仿宋_GB2312"/>
          <w:b w:val="0"/>
          <w:bCs/>
          <w:szCs w:val="32"/>
          <w:lang w:val="en-US" w:eastAsia="zh-CN"/>
        </w:rPr>
        <w:t>.</w:t>
      </w:r>
      <w:r>
        <w:rPr>
          <w:rStyle w:val="13"/>
          <w:rFonts w:hint="eastAsia" w:ascii="仿宋_GB2312" w:hAnsi="仿宋_GB2312" w:eastAsia="仿宋_GB2312" w:cs="仿宋_GB2312"/>
          <w:b w:val="0"/>
          <w:bCs/>
          <w:szCs w:val="32"/>
        </w:rPr>
        <w:t>完成县委、政府交办的其他任务。</w:t>
      </w:r>
    </w:p>
    <w:p>
      <w:pPr>
        <w:keepNext w:val="0"/>
        <w:keepLines w:val="0"/>
        <w:pageBreakBefore w:val="0"/>
        <w:widowControl w:val="0"/>
        <w:kinsoku/>
        <w:wordWrap/>
        <w:overflowPunct/>
        <w:topLinePunct w:val="0"/>
        <w:bidi w:val="0"/>
        <w:spacing w:line="570" w:lineRule="exact"/>
        <w:ind w:left="0" w:leftChars="0" w:right="0" w:rightChars="0" w:firstLine="640" w:firstLineChars="200"/>
        <w:textAlignment w:val="auto"/>
        <w:rPr>
          <w:rFonts w:ascii="黑体" w:hAnsi="黑体" w:eastAsia="黑体"/>
          <w:sz w:val="32"/>
          <w:szCs w:val="32"/>
        </w:rPr>
      </w:pPr>
      <w:r>
        <w:rPr>
          <w:rFonts w:hint="eastAsia" w:ascii="黑体" w:hAnsi="黑体" w:eastAsia="黑体"/>
          <w:sz w:val="32"/>
          <w:szCs w:val="32"/>
        </w:rPr>
        <w:t>二、部门预算单位构成</w:t>
      </w:r>
    </w:p>
    <w:p>
      <w:pPr>
        <w:pStyle w:val="12"/>
        <w:keepNext w:val="0"/>
        <w:keepLines w:val="0"/>
        <w:pageBreakBefore w:val="0"/>
        <w:widowControl w:val="0"/>
        <w:kinsoku/>
        <w:wordWrap/>
        <w:overflowPunct/>
        <w:topLinePunct w:val="0"/>
        <w:bidi w:val="0"/>
        <w:adjustRightInd w:val="0"/>
        <w:snapToGrid w:val="0"/>
        <w:spacing w:line="570" w:lineRule="exact"/>
        <w:ind w:left="0" w:leftChars="0" w:right="0" w:rightChars="0" w:firstLine="640" w:firstLineChars="200"/>
        <w:textAlignment w:val="auto"/>
        <w:rPr>
          <w:rStyle w:val="13"/>
          <w:rFonts w:hint="eastAsia" w:ascii="仿宋_GB2312" w:hAnsi="仿宋_GB2312" w:eastAsia="仿宋_GB2312" w:cs="仿宋_GB2312"/>
          <w:b w:val="0"/>
          <w:bCs/>
          <w:szCs w:val="32"/>
        </w:rPr>
      </w:pPr>
      <w:r>
        <w:rPr>
          <w:rStyle w:val="13"/>
          <w:rFonts w:hint="eastAsia" w:ascii="仿宋_GB2312" w:hAnsi="仿宋_GB2312" w:eastAsia="仿宋_GB2312" w:cs="仿宋_GB2312"/>
          <w:b w:val="0"/>
          <w:bCs/>
          <w:szCs w:val="32"/>
        </w:rPr>
        <w:t>察隅县教育局无内设机构。</w:t>
      </w:r>
    </w:p>
    <w:p>
      <w:pPr>
        <w:keepNext w:val="0"/>
        <w:keepLines w:val="0"/>
        <w:pageBreakBefore w:val="0"/>
        <w:widowControl w:val="0"/>
        <w:kinsoku/>
        <w:wordWrap/>
        <w:overflowPunct/>
        <w:topLinePunct w:val="0"/>
        <w:bidi w:val="0"/>
        <w:spacing w:line="570" w:lineRule="exact"/>
        <w:ind w:left="0" w:leftChars="0" w:right="0" w:rightChars="0"/>
        <w:jc w:val="both"/>
        <w:textAlignment w:val="auto"/>
        <w:rPr>
          <w:rFonts w:hint="eastAsia" w:ascii="方正小标宋简体" w:hAnsi="仿宋" w:eastAsia="方正小标宋简体"/>
          <w:sz w:val="32"/>
          <w:szCs w:val="32"/>
        </w:rPr>
      </w:pPr>
    </w:p>
    <w:p>
      <w:pPr>
        <w:keepNext w:val="0"/>
        <w:keepLines w:val="0"/>
        <w:pageBreakBefore w:val="0"/>
        <w:widowControl w:val="0"/>
        <w:kinsoku/>
        <w:wordWrap/>
        <w:overflowPunct/>
        <w:topLinePunct w:val="0"/>
        <w:bidi w:val="0"/>
        <w:spacing w:line="570" w:lineRule="exact"/>
        <w:ind w:left="0" w:leftChars="0" w:right="0" w:rightChars="0"/>
        <w:jc w:val="center"/>
        <w:textAlignment w:val="auto"/>
        <w:rPr>
          <w:rFonts w:ascii="方正小标宋简体" w:hAnsi="仿宋" w:eastAsia="方正小标宋简体"/>
          <w:sz w:val="44"/>
          <w:szCs w:val="44"/>
        </w:rPr>
      </w:pPr>
      <w:r>
        <w:rPr>
          <w:rFonts w:hint="eastAsia" w:ascii="方正小标宋简体" w:hAnsi="仿宋" w:eastAsia="方正小标宋简体"/>
          <w:sz w:val="44"/>
          <w:szCs w:val="44"/>
        </w:rPr>
        <w:t>第二部分</w:t>
      </w:r>
      <w:r>
        <w:rPr>
          <w:rFonts w:hint="eastAsia" w:ascii="方正小标宋简体" w:hAnsi="仿宋" w:eastAsia="方正小标宋简体"/>
          <w:sz w:val="44"/>
          <w:szCs w:val="44"/>
          <w:lang w:val="en-US" w:eastAsia="zh-CN"/>
        </w:rPr>
        <w:t xml:space="preserve">  </w:t>
      </w:r>
      <w:r>
        <w:rPr>
          <w:rFonts w:hint="eastAsia" w:ascii="方正小标宋简体" w:hAnsi="仿宋" w:eastAsia="方正小标宋简体"/>
          <w:sz w:val="44"/>
          <w:szCs w:val="44"/>
        </w:rPr>
        <w:t>察隅县教育局202</w:t>
      </w:r>
      <w:r>
        <w:rPr>
          <w:rFonts w:hint="eastAsia" w:ascii="方正小标宋简体" w:hAnsi="仿宋" w:eastAsia="方正小标宋简体"/>
          <w:sz w:val="44"/>
          <w:szCs w:val="44"/>
          <w:lang w:val="en-US" w:eastAsia="zh-CN"/>
        </w:rPr>
        <w:t>3</w:t>
      </w:r>
      <w:r>
        <w:rPr>
          <w:rFonts w:hint="eastAsia" w:ascii="方正小标宋简体" w:hAnsi="仿宋" w:eastAsia="方正小标宋简体"/>
          <w:sz w:val="44"/>
          <w:szCs w:val="44"/>
        </w:rPr>
        <w:t>年度预算明细表（表格详见附件）</w:t>
      </w:r>
    </w:p>
    <w:p>
      <w:pPr>
        <w:keepNext w:val="0"/>
        <w:keepLines w:val="0"/>
        <w:pageBreakBefore w:val="0"/>
        <w:widowControl w:val="0"/>
        <w:kinsoku/>
        <w:wordWrap/>
        <w:overflowPunct/>
        <w:topLinePunct w:val="0"/>
        <w:bidi w:val="0"/>
        <w:spacing w:line="570" w:lineRule="exact"/>
        <w:ind w:left="0" w:leftChars="0" w:right="0" w:rightChars="0"/>
        <w:jc w:val="both"/>
        <w:textAlignment w:val="auto"/>
        <w:rPr>
          <w:rFonts w:ascii="黑体" w:hAnsi="黑体" w:eastAsia="黑体"/>
          <w:sz w:val="44"/>
          <w:szCs w:val="44"/>
        </w:rPr>
      </w:pPr>
    </w:p>
    <w:p>
      <w:pPr>
        <w:keepNext w:val="0"/>
        <w:keepLines w:val="0"/>
        <w:pageBreakBefore w:val="0"/>
        <w:widowControl w:val="0"/>
        <w:kinsoku/>
        <w:wordWrap/>
        <w:overflowPunct/>
        <w:topLinePunct w:val="0"/>
        <w:bidi w:val="0"/>
        <w:spacing w:line="570" w:lineRule="exact"/>
        <w:ind w:left="0" w:leftChars="0" w:right="0" w:rightChars="0"/>
        <w:jc w:val="center"/>
        <w:textAlignment w:val="auto"/>
        <w:rPr>
          <w:rFonts w:ascii="方正小标宋简体" w:hAnsi="仿宋" w:eastAsia="方正小标宋简体"/>
          <w:sz w:val="44"/>
          <w:szCs w:val="44"/>
        </w:rPr>
      </w:pPr>
      <w:r>
        <w:rPr>
          <w:rFonts w:hint="eastAsia" w:ascii="方正小标宋简体" w:hAnsi="仿宋" w:eastAsia="方正小标宋简体"/>
          <w:sz w:val="44"/>
          <w:szCs w:val="44"/>
        </w:rPr>
        <w:t>第三部分</w:t>
      </w:r>
      <w:r>
        <w:rPr>
          <w:rFonts w:hint="eastAsia" w:ascii="方正小标宋简体" w:hAnsi="仿宋" w:eastAsia="方正小标宋简体"/>
          <w:sz w:val="44"/>
          <w:szCs w:val="44"/>
          <w:lang w:val="en-US" w:eastAsia="zh-CN"/>
        </w:rPr>
        <w:t xml:space="preserve">  </w:t>
      </w:r>
      <w:r>
        <w:rPr>
          <w:rFonts w:hint="eastAsia" w:ascii="方正小标宋简体" w:hAnsi="仿宋" w:eastAsia="方正小标宋简体"/>
          <w:sz w:val="44"/>
          <w:szCs w:val="44"/>
        </w:rPr>
        <w:t>察隅县教育局202</w:t>
      </w:r>
      <w:r>
        <w:rPr>
          <w:rFonts w:hint="eastAsia" w:ascii="方正小标宋简体" w:hAnsi="仿宋" w:eastAsia="方正小标宋简体"/>
          <w:sz w:val="44"/>
          <w:szCs w:val="44"/>
          <w:lang w:val="en-US" w:eastAsia="zh-CN"/>
        </w:rPr>
        <w:t>3</w:t>
      </w:r>
      <w:r>
        <w:rPr>
          <w:rFonts w:hint="eastAsia" w:ascii="方正小标宋简体" w:hAnsi="仿宋" w:eastAsia="方正小标宋简体"/>
          <w:sz w:val="44"/>
          <w:szCs w:val="44"/>
        </w:rPr>
        <w:t>年度部门预算数据分析</w:t>
      </w:r>
    </w:p>
    <w:p>
      <w:pPr>
        <w:keepNext w:val="0"/>
        <w:keepLines w:val="0"/>
        <w:pageBreakBefore w:val="0"/>
        <w:widowControl w:val="0"/>
        <w:kinsoku/>
        <w:wordWrap/>
        <w:overflowPunct/>
        <w:topLinePunct w:val="0"/>
        <w:bidi w:val="0"/>
        <w:spacing w:line="570" w:lineRule="exact"/>
        <w:ind w:left="0" w:leftChars="0" w:right="0" w:rightChars="0"/>
        <w:jc w:val="center"/>
        <w:textAlignment w:val="auto"/>
        <w:rPr>
          <w:rFonts w:ascii="黑体" w:hAnsi="黑体" w:eastAsia="黑体"/>
          <w:sz w:val="32"/>
          <w:szCs w:val="32"/>
        </w:rPr>
      </w:pPr>
    </w:p>
    <w:p>
      <w:pPr>
        <w:keepNext w:val="0"/>
        <w:keepLines w:val="0"/>
        <w:pageBreakBefore w:val="0"/>
        <w:widowControl w:val="0"/>
        <w:kinsoku/>
        <w:wordWrap/>
        <w:overflowPunct/>
        <w:topLinePunct w:val="0"/>
        <w:bidi w:val="0"/>
        <w:spacing w:line="570" w:lineRule="exact"/>
        <w:ind w:left="0" w:leftChars="0" w:right="0" w:rightChars="0" w:firstLine="640" w:firstLineChars="200"/>
        <w:textAlignment w:val="auto"/>
        <w:rPr>
          <w:rFonts w:ascii="黑体" w:hAnsi="黑体" w:eastAsia="黑体"/>
          <w:sz w:val="32"/>
          <w:szCs w:val="32"/>
        </w:rPr>
      </w:pPr>
      <w:r>
        <w:rPr>
          <w:rFonts w:hint="eastAsia" w:ascii="黑体" w:hAnsi="黑体" w:eastAsia="黑体"/>
          <w:sz w:val="32"/>
          <w:szCs w:val="32"/>
        </w:rPr>
        <w:t>一、202</w:t>
      </w:r>
      <w:r>
        <w:rPr>
          <w:rFonts w:hint="eastAsia" w:ascii="黑体" w:hAnsi="黑体" w:eastAsia="黑体"/>
          <w:sz w:val="32"/>
          <w:szCs w:val="32"/>
          <w:lang w:val="en-US" w:eastAsia="zh-CN"/>
        </w:rPr>
        <w:t>3</w:t>
      </w:r>
      <w:r>
        <w:rPr>
          <w:rFonts w:hint="eastAsia" w:ascii="黑体" w:hAnsi="黑体" w:eastAsia="黑体"/>
          <w:sz w:val="32"/>
          <w:szCs w:val="32"/>
        </w:rPr>
        <w:t>年度部门收支总表的说明</w:t>
      </w:r>
    </w:p>
    <w:p>
      <w:pPr>
        <w:pStyle w:val="12"/>
        <w:keepNext w:val="0"/>
        <w:keepLines w:val="0"/>
        <w:pageBreakBefore w:val="0"/>
        <w:widowControl w:val="0"/>
        <w:kinsoku/>
        <w:wordWrap/>
        <w:overflowPunct/>
        <w:topLinePunct w:val="0"/>
        <w:bidi w:val="0"/>
        <w:adjustRightInd w:val="0"/>
        <w:snapToGrid w:val="0"/>
        <w:spacing w:line="570" w:lineRule="exact"/>
        <w:ind w:left="0" w:leftChars="0" w:right="0" w:rightChars="0" w:firstLine="640" w:firstLineChars="200"/>
        <w:textAlignment w:val="auto"/>
        <w:rPr>
          <w:rStyle w:val="13"/>
          <w:rFonts w:hint="eastAsia" w:ascii="仿宋_GB2312" w:hAnsi="仿宋_GB2312" w:eastAsia="仿宋_GB2312" w:cs="仿宋_GB2312"/>
          <w:b w:val="0"/>
          <w:bCs/>
          <w:szCs w:val="32"/>
        </w:rPr>
      </w:pPr>
      <w:r>
        <w:rPr>
          <w:rStyle w:val="13"/>
          <w:rFonts w:hint="eastAsia" w:ascii="仿宋_GB2312" w:hAnsi="仿宋_GB2312" w:eastAsia="仿宋_GB2312" w:cs="仿宋_GB2312"/>
          <w:b w:val="0"/>
          <w:bCs/>
          <w:szCs w:val="32"/>
        </w:rPr>
        <w:t>202</w:t>
      </w:r>
      <w:r>
        <w:rPr>
          <w:rStyle w:val="13"/>
          <w:rFonts w:hint="eastAsia" w:ascii="仿宋_GB2312" w:hAnsi="仿宋_GB2312" w:cs="仿宋_GB2312"/>
          <w:b w:val="0"/>
          <w:bCs/>
          <w:szCs w:val="32"/>
          <w:lang w:val="en-US" w:eastAsia="zh-CN"/>
        </w:rPr>
        <w:t>3</w:t>
      </w:r>
      <w:r>
        <w:rPr>
          <w:rStyle w:val="13"/>
          <w:rFonts w:hint="eastAsia" w:ascii="仿宋_GB2312" w:hAnsi="仿宋_GB2312" w:eastAsia="仿宋_GB2312" w:cs="仿宋_GB2312"/>
          <w:b w:val="0"/>
          <w:bCs/>
          <w:szCs w:val="32"/>
        </w:rPr>
        <w:t>年度收支总预算755.66万元。收入包括：</w:t>
      </w:r>
      <w:r>
        <w:rPr>
          <w:rStyle w:val="13"/>
          <w:rFonts w:hint="eastAsia" w:ascii="仿宋_GB2312" w:hAnsi="仿宋_GB2312" w:eastAsia="仿宋_GB2312" w:cs="仿宋_GB2312"/>
          <w:b w:val="0"/>
          <w:bCs/>
          <w:szCs w:val="32"/>
          <w:lang w:eastAsia="zh-CN"/>
        </w:rPr>
        <w:t>上年结转</w:t>
      </w:r>
      <w:r>
        <w:rPr>
          <w:rStyle w:val="13"/>
          <w:rFonts w:hint="eastAsia" w:ascii="仿宋_GB2312" w:hAnsi="仿宋_GB2312" w:eastAsia="仿宋_GB2312" w:cs="仿宋_GB2312"/>
          <w:b w:val="0"/>
          <w:bCs/>
          <w:szCs w:val="32"/>
          <w:lang w:val="en-US" w:eastAsia="zh-CN"/>
        </w:rPr>
        <w:t>6.62万元，</w:t>
      </w:r>
      <w:r>
        <w:rPr>
          <w:rStyle w:val="13"/>
          <w:rFonts w:hint="eastAsia" w:ascii="仿宋_GB2312" w:hAnsi="仿宋_GB2312" w:eastAsia="仿宋_GB2312" w:cs="仿宋_GB2312"/>
          <w:b w:val="0"/>
          <w:bCs/>
          <w:szCs w:val="32"/>
        </w:rPr>
        <w:t>一般公共预算拨款收入</w:t>
      </w:r>
      <w:r>
        <w:rPr>
          <w:rStyle w:val="13"/>
          <w:rFonts w:hint="eastAsia" w:ascii="仿宋_GB2312" w:hAnsi="仿宋_GB2312" w:eastAsia="仿宋_GB2312" w:cs="仿宋_GB2312"/>
          <w:b w:val="0"/>
          <w:bCs/>
          <w:szCs w:val="32"/>
          <w:lang w:val="en-US" w:eastAsia="zh-CN"/>
        </w:rPr>
        <w:t>634.04</w:t>
      </w:r>
      <w:r>
        <w:rPr>
          <w:rStyle w:val="13"/>
          <w:rFonts w:hint="eastAsia" w:ascii="仿宋_GB2312" w:hAnsi="仿宋_GB2312" w:eastAsia="仿宋_GB2312" w:cs="仿宋_GB2312"/>
          <w:b w:val="0"/>
          <w:bCs/>
          <w:szCs w:val="32"/>
        </w:rPr>
        <w:t>万元，</w:t>
      </w:r>
      <w:r>
        <w:rPr>
          <w:rStyle w:val="13"/>
          <w:rFonts w:hint="eastAsia" w:ascii="仿宋_GB2312" w:hAnsi="仿宋_GB2312" w:eastAsia="仿宋_GB2312" w:cs="仿宋_GB2312"/>
          <w:b w:val="0"/>
          <w:bCs/>
          <w:szCs w:val="32"/>
          <w:lang w:eastAsia="zh-CN"/>
        </w:rPr>
        <w:t>政府性基金预算拨款收入</w:t>
      </w:r>
      <w:r>
        <w:rPr>
          <w:rStyle w:val="13"/>
          <w:rFonts w:hint="eastAsia" w:ascii="仿宋_GB2312" w:hAnsi="仿宋_GB2312" w:eastAsia="仿宋_GB2312" w:cs="仿宋_GB2312"/>
          <w:b w:val="0"/>
          <w:bCs/>
          <w:szCs w:val="32"/>
          <w:lang w:val="en-US" w:eastAsia="zh-CN"/>
        </w:rPr>
        <w:t>115.00万元。</w:t>
      </w:r>
      <w:r>
        <w:rPr>
          <w:rStyle w:val="13"/>
          <w:rFonts w:hint="eastAsia" w:ascii="仿宋_GB2312" w:hAnsi="仿宋_GB2312" w:eastAsia="仿宋_GB2312" w:cs="仿宋_GB2312"/>
          <w:b w:val="0"/>
          <w:bCs/>
          <w:szCs w:val="32"/>
        </w:rPr>
        <w:t>支出包括：教育支出</w:t>
      </w:r>
      <w:r>
        <w:rPr>
          <w:rStyle w:val="13"/>
          <w:rFonts w:hint="eastAsia" w:ascii="仿宋_GB2312" w:hAnsi="仿宋_GB2312" w:eastAsia="仿宋_GB2312" w:cs="仿宋_GB2312"/>
          <w:b w:val="0"/>
          <w:bCs/>
          <w:szCs w:val="32"/>
          <w:lang w:val="en-US" w:eastAsia="zh-CN"/>
        </w:rPr>
        <w:t>350.90</w:t>
      </w:r>
      <w:r>
        <w:rPr>
          <w:rStyle w:val="13"/>
          <w:rFonts w:hint="eastAsia" w:ascii="仿宋_GB2312" w:hAnsi="仿宋_GB2312" w:eastAsia="仿宋_GB2312" w:cs="仿宋_GB2312"/>
          <w:b w:val="0"/>
          <w:bCs/>
          <w:szCs w:val="32"/>
        </w:rPr>
        <w:t>万元</w:t>
      </w:r>
      <w:r>
        <w:rPr>
          <w:rStyle w:val="13"/>
          <w:rFonts w:hint="eastAsia" w:ascii="仿宋_GB2312" w:hAnsi="仿宋_GB2312" w:eastAsia="仿宋_GB2312" w:cs="仿宋_GB2312"/>
          <w:b w:val="0"/>
          <w:bCs/>
          <w:szCs w:val="32"/>
          <w:lang w:val="en-US" w:eastAsia="zh-CN"/>
        </w:rPr>
        <w:t>,文化旅游体育与传媒支出228.00万元,社会保障和就业支出23.59万元，卫生健康支出14.11万元，住房保障支出17.44万元，其他支出(</w:t>
      </w:r>
      <w:r>
        <w:rPr>
          <w:rStyle w:val="13"/>
          <w:rFonts w:hint="eastAsia" w:ascii="仿宋_GB2312" w:hAnsi="仿宋_GB2312" w:eastAsia="仿宋_GB2312" w:cs="仿宋_GB2312"/>
          <w:b w:val="0"/>
          <w:bCs/>
          <w:szCs w:val="32"/>
          <w:lang w:eastAsia="zh-CN"/>
        </w:rPr>
        <w:t>政府性基金</w:t>
      </w:r>
      <w:r>
        <w:rPr>
          <w:rStyle w:val="13"/>
          <w:rFonts w:hint="eastAsia" w:ascii="仿宋_GB2312" w:hAnsi="仿宋_GB2312" w:eastAsia="仿宋_GB2312" w:cs="仿宋_GB2312"/>
          <w:b w:val="0"/>
          <w:bCs/>
          <w:szCs w:val="32"/>
          <w:lang w:val="en-US" w:eastAsia="zh-CN"/>
        </w:rPr>
        <w:t>)121.62万元</w:t>
      </w:r>
      <w:r>
        <w:rPr>
          <w:rStyle w:val="13"/>
          <w:rFonts w:hint="eastAsia" w:ascii="仿宋_GB2312" w:hAnsi="仿宋_GB2312" w:eastAsia="仿宋_GB2312" w:cs="仿宋_GB2312"/>
          <w:b w:val="0"/>
          <w:bCs/>
          <w:szCs w:val="32"/>
        </w:rPr>
        <w:t>。</w:t>
      </w:r>
    </w:p>
    <w:p>
      <w:pPr>
        <w:keepNext w:val="0"/>
        <w:keepLines w:val="0"/>
        <w:pageBreakBefore w:val="0"/>
        <w:widowControl w:val="0"/>
        <w:kinsoku/>
        <w:wordWrap/>
        <w:overflowPunct/>
        <w:topLinePunct w:val="0"/>
        <w:bidi w:val="0"/>
        <w:spacing w:line="570" w:lineRule="exact"/>
        <w:ind w:left="0" w:leftChars="0" w:right="0" w:rightChars="0" w:firstLine="640" w:firstLineChars="200"/>
        <w:textAlignment w:val="auto"/>
        <w:rPr>
          <w:rFonts w:ascii="黑体" w:hAnsi="黑体" w:eastAsia="黑体"/>
          <w:sz w:val="32"/>
          <w:szCs w:val="32"/>
          <w:highlight w:val="none"/>
        </w:rPr>
      </w:pPr>
      <w:r>
        <w:rPr>
          <w:rFonts w:hint="eastAsia" w:ascii="黑体" w:hAnsi="黑体" w:eastAsia="黑体"/>
          <w:sz w:val="32"/>
          <w:szCs w:val="32"/>
          <w:highlight w:val="none"/>
        </w:rPr>
        <w:t>二、202</w:t>
      </w:r>
      <w:r>
        <w:rPr>
          <w:rFonts w:hint="eastAsia" w:ascii="黑体" w:hAnsi="黑体" w:eastAsia="黑体"/>
          <w:sz w:val="32"/>
          <w:szCs w:val="32"/>
          <w:highlight w:val="none"/>
          <w:lang w:val="en-US" w:eastAsia="zh-CN"/>
        </w:rPr>
        <w:t>3</w:t>
      </w:r>
      <w:r>
        <w:rPr>
          <w:rFonts w:hint="eastAsia" w:ascii="黑体" w:hAnsi="黑体" w:eastAsia="黑体"/>
          <w:sz w:val="32"/>
          <w:szCs w:val="32"/>
          <w:highlight w:val="none"/>
        </w:rPr>
        <w:t>年度部门收入总表的说明</w:t>
      </w:r>
    </w:p>
    <w:p>
      <w:pPr>
        <w:pStyle w:val="12"/>
        <w:keepNext w:val="0"/>
        <w:keepLines w:val="0"/>
        <w:pageBreakBefore w:val="0"/>
        <w:widowControl w:val="0"/>
        <w:kinsoku/>
        <w:wordWrap/>
        <w:overflowPunct/>
        <w:topLinePunct w:val="0"/>
        <w:bidi w:val="0"/>
        <w:adjustRightInd w:val="0"/>
        <w:snapToGrid w:val="0"/>
        <w:spacing w:line="570" w:lineRule="exact"/>
        <w:ind w:left="0" w:leftChars="0" w:right="0" w:rightChars="0" w:firstLine="640" w:firstLineChars="200"/>
        <w:textAlignment w:val="auto"/>
        <w:rPr>
          <w:rStyle w:val="13"/>
          <w:rFonts w:hint="eastAsia" w:ascii="仿宋_GB2312" w:hAnsi="仿宋_GB2312" w:eastAsia="仿宋_GB2312" w:cs="仿宋_GB2312"/>
          <w:b w:val="0"/>
          <w:bCs/>
          <w:szCs w:val="32"/>
        </w:rPr>
      </w:pPr>
      <w:r>
        <w:rPr>
          <w:rStyle w:val="13"/>
          <w:rFonts w:hint="eastAsia" w:ascii="仿宋_GB2312" w:hAnsi="仿宋_GB2312" w:eastAsia="仿宋_GB2312" w:cs="仿宋_GB2312"/>
          <w:b w:val="0"/>
          <w:bCs/>
          <w:szCs w:val="32"/>
        </w:rPr>
        <w:t>202</w:t>
      </w:r>
      <w:r>
        <w:rPr>
          <w:rStyle w:val="13"/>
          <w:rFonts w:hint="eastAsia" w:ascii="仿宋_GB2312" w:hAnsi="仿宋_GB2312" w:cs="仿宋_GB2312"/>
          <w:b w:val="0"/>
          <w:bCs/>
          <w:szCs w:val="32"/>
          <w:lang w:val="en-US" w:eastAsia="zh-CN"/>
        </w:rPr>
        <w:t>3</w:t>
      </w:r>
      <w:r>
        <w:rPr>
          <w:rStyle w:val="13"/>
          <w:rFonts w:hint="eastAsia" w:ascii="仿宋_GB2312" w:hAnsi="仿宋_GB2312" w:eastAsia="仿宋_GB2312" w:cs="仿宋_GB2312"/>
          <w:b w:val="0"/>
          <w:bCs/>
          <w:szCs w:val="32"/>
        </w:rPr>
        <w:t>年度收入预算755.66万元，其中：一般公共预算拨款收入</w:t>
      </w:r>
      <w:r>
        <w:rPr>
          <w:rStyle w:val="13"/>
          <w:rFonts w:hint="eastAsia" w:ascii="仿宋_GB2312" w:hAnsi="仿宋_GB2312" w:eastAsia="仿宋_GB2312" w:cs="仿宋_GB2312"/>
          <w:b w:val="0"/>
          <w:bCs/>
          <w:szCs w:val="32"/>
          <w:lang w:val="en-US" w:eastAsia="zh-CN"/>
        </w:rPr>
        <w:t>634.04</w:t>
      </w:r>
      <w:r>
        <w:rPr>
          <w:rStyle w:val="13"/>
          <w:rFonts w:hint="eastAsia" w:ascii="仿宋_GB2312" w:hAnsi="仿宋_GB2312" w:eastAsia="仿宋_GB2312" w:cs="仿宋_GB2312"/>
          <w:b w:val="0"/>
          <w:bCs/>
          <w:szCs w:val="32"/>
        </w:rPr>
        <w:t>万元，占</w:t>
      </w:r>
      <w:r>
        <w:rPr>
          <w:rStyle w:val="13"/>
          <w:rFonts w:hint="eastAsia" w:ascii="仿宋_GB2312" w:hAnsi="仿宋_GB2312" w:cs="仿宋_GB2312"/>
          <w:b w:val="0"/>
          <w:bCs/>
          <w:szCs w:val="32"/>
          <w:lang w:eastAsia="zh-CN"/>
        </w:rPr>
        <w:t>总收入的</w:t>
      </w:r>
      <w:r>
        <w:rPr>
          <w:rStyle w:val="13"/>
          <w:rFonts w:hint="eastAsia" w:ascii="仿宋_GB2312" w:hAnsi="仿宋_GB2312" w:cs="仿宋_GB2312"/>
          <w:b w:val="0"/>
          <w:bCs/>
          <w:szCs w:val="32"/>
          <w:lang w:val="en-US" w:eastAsia="zh-CN"/>
        </w:rPr>
        <w:t>84</w:t>
      </w:r>
      <w:r>
        <w:rPr>
          <w:rStyle w:val="13"/>
          <w:rFonts w:hint="eastAsia" w:ascii="仿宋_GB2312" w:hAnsi="仿宋_GB2312" w:eastAsia="仿宋_GB2312" w:cs="仿宋_GB2312"/>
          <w:b w:val="0"/>
          <w:bCs/>
          <w:szCs w:val="32"/>
        </w:rPr>
        <w:t>%</w:t>
      </w:r>
      <w:r>
        <w:rPr>
          <w:rStyle w:val="13"/>
          <w:rFonts w:hint="eastAsia" w:ascii="仿宋_GB2312" w:hAnsi="仿宋_GB2312" w:cs="仿宋_GB2312"/>
          <w:b w:val="0"/>
          <w:bCs/>
          <w:szCs w:val="32"/>
          <w:lang w:eastAsia="zh-CN"/>
        </w:rPr>
        <w:t>；</w:t>
      </w:r>
      <w:r>
        <w:rPr>
          <w:rStyle w:val="13"/>
          <w:rFonts w:hint="eastAsia" w:ascii="仿宋_GB2312" w:hAnsi="仿宋_GB2312" w:eastAsia="仿宋_GB2312" w:cs="仿宋_GB2312"/>
          <w:b w:val="0"/>
          <w:bCs/>
          <w:szCs w:val="32"/>
          <w:lang w:eastAsia="zh-CN"/>
        </w:rPr>
        <w:t>上年结转</w:t>
      </w:r>
      <w:r>
        <w:rPr>
          <w:rStyle w:val="13"/>
          <w:rFonts w:hint="eastAsia" w:ascii="仿宋_GB2312" w:hAnsi="仿宋_GB2312" w:eastAsia="仿宋_GB2312" w:cs="仿宋_GB2312"/>
          <w:b w:val="0"/>
          <w:bCs/>
          <w:szCs w:val="32"/>
          <w:lang w:val="en-US" w:eastAsia="zh-CN"/>
        </w:rPr>
        <w:t>6.62万元，</w:t>
      </w:r>
      <w:r>
        <w:rPr>
          <w:rStyle w:val="13"/>
          <w:rFonts w:hint="eastAsia" w:ascii="仿宋_GB2312" w:hAnsi="仿宋_GB2312" w:eastAsia="仿宋_GB2312" w:cs="仿宋_GB2312"/>
          <w:b w:val="0"/>
          <w:bCs/>
          <w:szCs w:val="32"/>
        </w:rPr>
        <w:t>占</w:t>
      </w:r>
      <w:r>
        <w:rPr>
          <w:rStyle w:val="13"/>
          <w:rFonts w:hint="eastAsia" w:ascii="仿宋_GB2312" w:hAnsi="仿宋_GB2312" w:cs="仿宋_GB2312"/>
          <w:b w:val="0"/>
          <w:bCs/>
          <w:szCs w:val="32"/>
          <w:lang w:eastAsia="zh-CN"/>
        </w:rPr>
        <w:t>总收入的</w:t>
      </w:r>
      <w:r>
        <w:rPr>
          <w:rStyle w:val="13"/>
          <w:rFonts w:hint="eastAsia" w:ascii="仿宋_GB2312" w:hAnsi="仿宋_GB2312" w:cs="仿宋_GB2312"/>
          <w:b w:val="0"/>
          <w:bCs/>
          <w:szCs w:val="32"/>
          <w:lang w:val="en-US" w:eastAsia="zh-CN"/>
        </w:rPr>
        <w:t>1</w:t>
      </w:r>
      <w:r>
        <w:rPr>
          <w:rStyle w:val="13"/>
          <w:rFonts w:hint="eastAsia" w:ascii="仿宋_GB2312" w:hAnsi="仿宋_GB2312" w:eastAsia="仿宋_GB2312" w:cs="仿宋_GB2312"/>
          <w:b w:val="0"/>
          <w:bCs/>
          <w:szCs w:val="32"/>
        </w:rPr>
        <w:t>%</w:t>
      </w:r>
      <w:r>
        <w:rPr>
          <w:rStyle w:val="13"/>
          <w:rFonts w:hint="eastAsia" w:ascii="仿宋_GB2312" w:hAnsi="仿宋_GB2312" w:cs="仿宋_GB2312"/>
          <w:b w:val="0"/>
          <w:bCs/>
          <w:szCs w:val="32"/>
          <w:lang w:eastAsia="zh-CN"/>
        </w:rPr>
        <w:t>；</w:t>
      </w:r>
      <w:r>
        <w:rPr>
          <w:rStyle w:val="13"/>
          <w:rFonts w:hint="eastAsia" w:ascii="仿宋_GB2312" w:hAnsi="仿宋_GB2312" w:eastAsia="仿宋_GB2312" w:cs="仿宋_GB2312"/>
          <w:b w:val="0"/>
          <w:bCs/>
          <w:szCs w:val="32"/>
          <w:lang w:eastAsia="zh-CN"/>
        </w:rPr>
        <w:t>政府性基金预算拨款收入</w:t>
      </w:r>
      <w:r>
        <w:rPr>
          <w:rStyle w:val="13"/>
          <w:rFonts w:hint="eastAsia" w:ascii="仿宋_GB2312" w:hAnsi="仿宋_GB2312" w:eastAsia="仿宋_GB2312" w:cs="仿宋_GB2312"/>
          <w:b w:val="0"/>
          <w:bCs/>
          <w:szCs w:val="32"/>
          <w:lang w:val="en-US" w:eastAsia="zh-CN"/>
        </w:rPr>
        <w:t>115.00万元</w:t>
      </w:r>
      <w:r>
        <w:rPr>
          <w:rStyle w:val="13"/>
          <w:rFonts w:hint="eastAsia" w:ascii="仿宋_GB2312" w:hAnsi="仿宋_GB2312" w:cs="仿宋_GB2312"/>
          <w:b w:val="0"/>
          <w:bCs/>
          <w:szCs w:val="32"/>
          <w:lang w:val="en-US" w:eastAsia="zh-CN"/>
        </w:rPr>
        <w:t>，</w:t>
      </w:r>
      <w:r>
        <w:rPr>
          <w:rStyle w:val="13"/>
          <w:rFonts w:hint="eastAsia" w:ascii="仿宋_GB2312" w:hAnsi="仿宋_GB2312" w:eastAsia="仿宋_GB2312" w:cs="仿宋_GB2312"/>
          <w:b w:val="0"/>
          <w:bCs/>
          <w:szCs w:val="32"/>
        </w:rPr>
        <w:t>占</w:t>
      </w:r>
      <w:r>
        <w:rPr>
          <w:rStyle w:val="13"/>
          <w:rFonts w:hint="eastAsia" w:ascii="仿宋_GB2312" w:hAnsi="仿宋_GB2312" w:cs="仿宋_GB2312"/>
          <w:b w:val="0"/>
          <w:bCs/>
          <w:szCs w:val="32"/>
          <w:lang w:eastAsia="zh-CN"/>
        </w:rPr>
        <w:t>总收入的</w:t>
      </w:r>
      <w:r>
        <w:rPr>
          <w:rStyle w:val="13"/>
          <w:rFonts w:hint="eastAsia" w:ascii="仿宋_GB2312" w:hAnsi="仿宋_GB2312" w:cs="仿宋_GB2312"/>
          <w:b w:val="0"/>
          <w:bCs/>
          <w:szCs w:val="32"/>
          <w:lang w:val="en-US" w:eastAsia="zh-CN"/>
        </w:rPr>
        <w:t>15</w:t>
      </w:r>
      <w:r>
        <w:rPr>
          <w:rStyle w:val="13"/>
          <w:rFonts w:hint="eastAsia" w:ascii="仿宋_GB2312" w:hAnsi="仿宋_GB2312" w:eastAsia="仿宋_GB2312" w:cs="仿宋_GB2312"/>
          <w:b w:val="0"/>
          <w:bCs/>
          <w:szCs w:val="32"/>
        </w:rPr>
        <w:t>%。</w:t>
      </w:r>
    </w:p>
    <w:p>
      <w:pPr>
        <w:keepNext w:val="0"/>
        <w:keepLines w:val="0"/>
        <w:pageBreakBefore w:val="0"/>
        <w:widowControl w:val="0"/>
        <w:kinsoku/>
        <w:wordWrap/>
        <w:overflowPunct/>
        <w:topLinePunct w:val="0"/>
        <w:bidi w:val="0"/>
        <w:spacing w:line="570" w:lineRule="exact"/>
        <w:ind w:left="0" w:leftChars="0" w:right="0" w:rightChars="0" w:firstLine="640" w:firstLineChars="200"/>
        <w:textAlignment w:val="auto"/>
        <w:rPr>
          <w:rFonts w:ascii="黑体" w:hAnsi="黑体" w:eastAsia="黑体"/>
          <w:sz w:val="32"/>
          <w:szCs w:val="32"/>
          <w:highlight w:val="none"/>
        </w:rPr>
      </w:pPr>
      <w:r>
        <w:rPr>
          <w:rFonts w:hint="eastAsia" w:ascii="黑体" w:hAnsi="黑体" w:eastAsia="黑体"/>
          <w:sz w:val="32"/>
          <w:szCs w:val="32"/>
          <w:highlight w:val="none"/>
        </w:rPr>
        <w:t>三、202</w:t>
      </w:r>
      <w:r>
        <w:rPr>
          <w:rFonts w:hint="eastAsia" w:ascii="黑体" w:hAnsi="黑体" w:eastAsia="黑体"/>
          <w:sz w:val="32"/>
          <w:szCs w:val="32"/>
          <w:highlight w:val="none"/>
          <w:lang w:val="en-US" w:eastAsia="zh-CN"/>
        </w:rPr>
        <w:t>3</w:t>
      </w:r>
      <w:r>
        <w:rPr>
          <w:rFonts w:hint="eastAsia" w:ascii="黑体" w:hAnsi="黑体" w:eastAsia="黑体"/>
          <w:sz w:val="32"/>
          <w:szCs w:val="32"/>
          <w:highlight w:val="none"/>
        </w:rPr>
        <w:t>年度部门支出总表的说明</w:t>
      </w:r>
    </w:p>
    <w:p>
      <w:pPr>
        <w:pStyle w:val="12"/>
        <w:keepNext w:val="0"/>
        <w:keepLines w:val="0"/>
        <w:pageBreakBefore w:val="0"/>
        <w:widowControl w:val="0"/>
        <w:kinsoku/>
        <w:wordWrap/>
        <w:overflowPunct/>
        <w:topLinePunct w:val="0"/>
        <w:bidi w:val="0"/>
        <w:adjustRightInd w:val="0"/>
        <w:snapToGrid w:val="0"/>
        <w:spacing w:line="570" w:lineRule="exact"/>
        <w:ind w:left="0" w:leftChars="0" w:right="0" w:rightChars="0" w:firstLine="640" w:firstLineChars="200"/>
        <w:textAlignment w:val="auto"/>
        <w:rPr>
          <w:rStyle w:val="13"/>
          <w:rFonts w:hint="eastAsia" w:ascii="仿宋_GB2312" w:hAnsi="仿宋_GB2312" w:eastAsia="仿宋_GB2312" w:cs="仿宋_GB2312"/>
          <w:b w:val="0"/>
          <w:bCs/>
          <w:szCs w:val="32"/>
        </w:rPr>
      </w:pPr>
      <w:r>
        <w:rPr>
          <w:rStyle w:val="13"/>
          <w:rFonts w:hint="eastAsia" w:ascii="仿宋_GB2312" w:hAnsi="仿宋_GB2312" w:eastAsia="仿宋_GB2312" w:cs="仿宋_GB2312"/>
          <w:b w:val="0"/>
          <w:bCs/>
          <w:szCs w:val="32"/>
        </w:rPr>
        <w:t>202</w:t>
      </w:r>
      <w:r>
        <w:rPr>
          <w:rStyle w:val="13"/>
          <w:rFonts w:hint="eastAsia" w:ascii="仿宋_GB2312" w:hAnsi="仿宋_GB2312" w:cs="仿宋_GB2312"/>
          <w:b w:val="0"/>
          <w:bCs/>
          <w:szCs w:val="32"/>
          <w:lang w:val="en-US" w:eastAsia="zh-CN"/>
        </w:rPr>
        <w:t>3</w:t>
      </w:r>
      <w:r>
        <w:rPr>
          <w:rStyle w:val="13"/>
          <w:rFonts w:hint="eastAsia" w:ascii="仿宋_GB2312" w:hAnsi="仿宋_GB2312" w:eastAsia="仿宋_GB2312" w:cs="仿宋_GB2312"/>
          <w:b w:val="0"/>
          <w:bCs/>
          <w:szCs w:val="32"/>
        </w:rPr>
        <w:t>年度支出预算755.66万元，</w:t>
      </w:r>
      <w:r>
        <w:rPr>
          <w:rStyle w:val="13"/>
          <w:rFonts w:hint="eastAsia" w:ascii="仿宋_GB2312" w:hAnsi="仿宋_GB2312" w:eastAsia="仿宋_GB2312" w:cs="仿宋_GB2312"/>
          <w:b w:val="0"/>
          <w:bCs/>
          <w:szCs w:val="32"/>
          <w:lang w:eastAsia="zh-CN"/>
        </w:rPr>
        <w:t>包括基本支出和项目支出。</w:t>
      </w:r>
      <w:r>
        <w:rPr>
          <w:rStyle w:val="13"/>
          <w:rFonts w:hint="eastAsia" w:ascii="仿宋_GB2312" w:hAnsi="仿宋_GB2312" w:eastAsia="仿宋_GB2312" w:cs="仿宋_GB2312"/>
          <w:b w:val="0"/>
          <w:bCs/>
          <w:szCs w:val="32"/>
        </w:rPr>
        <w:t>其中：基本支出</w:t>
      </w:r>
      <w:r>
        <w:rPr>
          <w:rStyle w:val="13"/>
          <w:rFonts w:hint="eastAsia" w:ascii="仿宋_GB2312" w:hAnsi="仿宋_GB2312" w:cs="仿宋_GB2312"/>
          <w:b w:val="0"/>
          <w:bCs/>
          <w:szCs w:val="32"/>
          <w:lang w:val="en-US" w:eastAsia="zh-CN"/>
        </w:rPr>
        <w:t>251.33</w:t>
      </w:r>
      <w:r>
        <w:rPr>
          <w:rStyle w:val="13"/>
          <w:rFonts w:hint="eastAsia" w:ascii="仿宋_GB2312" w:hAnsi="仿宋_GB2312" w:eastAsia="仿宋_GB2312" w:cs="仿宋_GB2312"/>
          <w:b w:val="0"/>
          <w:bCs/>
          <w:szCs w:val="32"/>
        </w:rPr>
        <w:t>万元，占</w:t>
      </w:r>
      <w:r>
        <w:rPr>
          <w:rStyle w:val="13"/>
          <w:rFonts w:hint="eastAsia" w:ascii="仿宋_GB2312" w:hAnsi="仿宋_GB2312" w:eastAsia="仿宋_GB2312" w:cs="仿宋_GB2312"/>
          <w:b w:val="0"/>
          <w:bCs/>
          <w:szCs w:val="32"/>
          <w:lang w:eastAsia="zh-CN"/>
        </w:rPr>
        <w:t>总支出的</w:t>
      </w:r>
      <w:r>
        <w:rPr>
          <w:rStyle w:val="13"/>
          <w:rFonts w:hint="eastAsia" w:ascii="仿宋_GB2312" w:hAnsi="仿宋_GB2312" w:eastAsia="仿宋_GB2312" w:cs="仿宋_GB2312"/>
          <w:b w:val="0"/>
          <w:bCs/>
          <w:szCs w:val="32"/>
          <w:lang w:val="en-US" w:eastAsia="zh-CN"/>
        </w:rPr>
        <w:t>3</w:t>
      </w:r>
      <w:r>
        <w:rPr>
          <w:rStyle w:val="13"/>
          <w:rFonts w:hint="eastAsia" w:ascii="仿宋_GB2312" w:hAnsi="仿宋_GB2312" w:cs="仿宋_GB2312"/>
          <w:b w:val="0"/>
          <w:bCs/>
          <w:szCs w:val="32"/>
          <w:lang w:val="en-US" w:eastAsia="zh-CN"/>
        </w:rPr>
        <w:t>3</w:t>
      </w:r>
      <w:r>
        <w:rPr>
          <w:rStyle w:val="13"/>
          <w:rFonts w:hint="eastAsia" w:ascii="仿宋_GB2312" w:hAnsi="仿宋_GB2312" w:eastAsia="仿宋_GB2312" w:cs="仿宋_GB2312"/>
          <w:b w:val="0"/>
          <w:bCs/>
          <w:szCs w:val="32"/>
        </w:rPr>
        <w:t>%</w:t>
      </w:r>
      <w:r>
        <w:rPr>
          <w:rStyle w:val="13"/>
          <w:rFonts w:hint="eastAsia" w:ascii="仿宋_GB2312" w:hAnsi="仿宋_GB2312" w:cs="仿宋_GB2312"/>
          <w:b w:val="0"/>
          <w:bCs/>
          <w:szCs w:val="32"/>
          <w:lang w:eastAsia="zh-CN"/>
        </w:rPr>
        <w:t>，</w:t>
      </w:r>
      <w:r>
        <w:rPr>
          <w:rFonts w:hint="eastAsia" w:ascii="仿宋_GB2312" w:hAnsi="黑体" w:eastAsia="仿宋_GB2312"/>
          <w:snapToGrid w:val="0"/>
          <w:w w:val="95"/>
          <w:sz w:val="32"/>
          <w:szCs w:val="32"/>
          <w:lang w:val="en-US" w:eastAsia="zh-CN"/>
        </w:rPr>
        <w:t>主要用于工资福利支出、商品和服务支出</w:t>
      </w:r>
      <w:r>
        <w:rPr>
          <w:rStyle w:val="13"/>
          <w:rFonts w:hint="eastAsia" w:ascii="仿宋_GB2312" w:hAnsi="仿宋_GB2312" w:eastAsia="仿宋_GB2312" w:cs="仿宋_GB2312"/>
          <w:b w:val="0"/>
          <w:bCs/>
          <w:szCs w:val="32"/>
        </w:rPr>
        <w:t>；项目支出504.33万元，占</w:t>
      </w:r>
      <w:r>
        <w:rPr>
          <w:rStyle w:val="13"/>
          <w:rFonts w:hint="eastAsia" w:ascii="仿宋_GB2312" w:hAnsi="仿宋_GB2312" w:eastAsia="仿宋_GB2312" w:cs="仿宋_GB2312"/>
          <w:b w:val="0"/>
          <w:bCs/>
          <w:szCs w:val="32"/>
          <w:lang w:eastAsia="zh-CN"/>
        </w:rPr>
        <w:t>总支出的</w:t>
      </w:r>
      <w:r>
        <w:rPr>
          <w:rStyle w:val="13"/>
          <w:rFonts w:hint="eastAsia" w:ascii="仿宋_GB2312" w:hAnsi="仿宋_GB2312" w:cs="仿宋_GB2312"/>
          <w:b w:val="0"/>
          <w:bCs/>
          <w:szCs w:val="32"/>
          <w:lang w:val="en-US" w:eastAsia="zh-CN"/>
        </w:rPr>
        <w:t>67</w:t>
      </w:r>
      <w:r>
        <w:rPr>
          <w:rStyle w:val="13"/>
          <w:rFonts w:hint="eastAsia" w:ascii="仿宋_GB2312" w:hAnsi="仿宋_GB2312" w:eastAsia="仿宋_GB2312" w:cs="仿宋_GB2312"/>
          <w:b w:val="0"/>
          <w:bCs/>
          <w:szCs w:val="32"/>
        </w:rPr>
        <w:t>%</w:t>
      </w:r>
      <w:r>
        <w:rPr>
          <w:rStyle w:val="13"/>
          <w:rFonts w:hint="eastAsia" w:ascii="仿宋_GB2312" w:hAnsi="仿宋_GB2312" w:cs="仿宋_GB2312"/>
          <w:b w:val="0"/>
          <w:bCs/>
          <w:szCs w:val="32"/>
          <w:lang w:eastAsia="zh-CN"/>
        </w:rPr>
        <w:t>，</w:t>
      </w:r>
      <w:r>
        <w:rPr>
          <w:rFonts w:hint="eastAsia" w:ascii="仿宋_GB2312" w:hAnsi="黑体" w:eastAsia="仿宋_GB2312"/>
          <w:snapToGrid w:val="0"/>
          <w:w w:val="95"/>
          <w:sz w:val="32"/>
          <w:szCs w:val="32"/>
          <w:lang w:val="en-US" w:eastAsia="zh-CN"/>
        </w:rPr>
        <w:t>主要用于</w:t>
      </w:r>
      <w:r>
        <w:rPr>
          <w:rFonts w:hint="eastAsia" w:ascii="仿宋_GB2312" w:hAnsi="黑体" w:eastAsia="仿宋_GB2312" w:cs="Times New Roman"/>
          <w:snapToGrid w:val="0"/>
          <w:w w:val="95"/>
          <w:sz w:val="32"/>
          <w:szCs w:val="32"/>
          <w:lang w:val="en-US" w:eastAsia="zh-CN"/>
        </w:rPr>
        <w:t>教育附加费、体育经费、彩票公益金支出。</w:t>
      </w:r>
    </w:p>
    <w:p>
      <w:pPr>
        <w:keepNext w:val="0"/>
        <w:keepLines w:val="0"/>
        <w:pageBreakBefore w:val="0"/>
        <w:widowControl w:val="0"/>
        <w:kinsoku/>
        <w:wordWrap/>
        <w:overflowPunct/>
        <w:topLinePunct w:val="0"/>
        <w:bidi w:val="0"/>
        <w:spacing w:line="570" w:lineRule="exact"/>
        <w:ind w:left="0" w:leftChars="0" w:right="0" w:rightChars="0" w:firstLine="640" w:firstLineChars="200"/>
        <w:textAlignment w:val="auto"/>
        <w:rPr>
          <w:rFonts w:ascii="黑体" w:hAnsi="黑体" w:eastAsia="黑体"/>
          <w:sz w:val="32"/>
          <w:szCs w:val="32"/>
        </w:rPr>
      </w:pPr>
      <w:r>
        <w:rPr>
          <w:rFonts w:hint="eastAsia" w:ascii="黑体" w:hAnsi="黑体" w:eastAsia="黑体"/>
          <w:sz w:val="32"/>
          <w:szCs w:val="32"/>
        </w:rPr>
        <w:t>四、202</w:t>
      </w:r>
      <w:r>
        <w:rPr>
          <w:rFonts w:hint="eastAsia" w:ascii="黑体" w:hAnsi="黑体" w:eastAsia="黑体"/>
          <w:sz w:val="32"/>
          <w:szCs w:val="32"/>
          <w:lang w:val="en-US" w:eastAsia="zh-CN"/>
        </w:rPr>
        <w:t>3</w:t>
      </w:r>
      <w:r>
        <w:rPr>
          <w:rFonts w:hint="eastAsia" w:ascii="黑体" w:hAnsi="黑体" w:eastAsia="黑体"/>
          <w:sz w:val="32"/>
          <w:szCs w:val="32"/>
        </w:rPr>
        <w:t>年度财政拨款收支总表的说明</w:t>
      </w:r>
    </w:p>
    <w:p>
      <w:pPr>
        <w:pStyle w:val="12"/>
        <w:keepNext w:val="0"/>
        <w:keepLines w:val="0"/>
        <w:pageBreakBefore w:val="0"/>
        <w:widowControl w:val="0"/>
        <w:kinsoku/>
        <w:wordWrap/>
        <w:overflowPunct/>
        <w:topLinePunct w:val="0"/>
        <w:bidi w:val="0"/>
        <w:adjustRightInd w:val="0"/>
        <w:snapToGrid w:val="0"/>
        <w:spacing w:line="570" w:lineRule="exact"/>
        <w:ind w:left="0" w:leftChars="0" w:right="0" w:rightChars="0" w:firstLine="640" w:firstLineChars="200"/>
        <w:textAlignment w:val="auto"/>
        <w:rPr>
          <w:rStyle w:val="13"/>
          <w:rFonts w:hint="eastAsia" w:ascii="仿宋_GB2312" w:hAnsi="仿宋_GB2312" w:eastAsia="仿宋_GB2312" w:cs="仿宋_GB2312"/>
          <w:b w:val="0"/>
          <w:bCs/>
          <w:szCs w:val="32"/>
        </w:rPr>
      </w:pPr>
      <w:r>
        <w:rPr>
          <w:rStyle w:val="13"/>
          <w:rFonts w:hint="eastAsia" w:ascii="仿宋_GB2312" w:hAnsi="仿宋_GB2312" w:eastAsia="仿宋_GB2312" w:cs="仿宋_GB2312"/>
          <w:b w:val="0"/>
          <w:bCs/>
          <w:szCs w:val="32"/>
        </w:rPr>
        <w:t>202</w:t>
      </w:r>
      <w:r>
        <w:rPr>
          <w:rStyle w:val="13"/>
          <w:rFonts w:hint="eastAsia" w:ascii="仿宋_GB2312" w:hAnsi="仿宋_GB2312" w:cs="仿宋_GB2312"/>
          <w:b w:val="0"/>
          <w:bCs/>
          <w:szCs w:val="32"/>
          <w:lang w:val="en-US" w:eastAsia="zh-CN"/>
        </w:rPr>
        <w:t>3</w:t>
      </w:r>
      <w:r>
        <w:rPr>
          <w:rStyle w:val="13"/>
          <w:rFonts w:hint="eastAsia" w:ascii="仿宋_GB2312" w:hAnsi="仿宋_GB2312" w:eastAsia="仿宋_GB2312" w:cs="仿宋_GB2312"/>
          <w:b w:val="0"/>
          <w:bCs/>
          <w:szCs w:val="32"/>
        </w:rPr>
        <w:t>年度收支总预算755.66万元。收入包括：</w:t>
      </w:r>
      <w:r>
        <w:rPr>
          <w:rStyle w:val="13"/>
          <w:rFonts w:hint="eastAsia" w:ascii="仿宋_GB2312" w:hAnsi="仿宋_GB2312" w:eastAsia="仿宋_GB2312" w:cs="仿宋_GB2312"/>
          <w:b w:val="0"/>
          <w:bCs/>
          <w:szCs w:val="32"/>
          <w:lang w:eastAsia="zh-CN"/>
        </w:rPr>
        <w:t>上年结转</w:t>
      </w:r>
      <w:r>
        <w:rPr>
          <w:rStyle w:val="13"/>
          <w:rFonts w:hint="eastAsia" w:ascii="仿宋_GB2312" w:hAnsi="仿宋_GB2312" w:eastAsia="仿宋_GB2312" w:cs="仿宋_GB2312"/>
          <w:b w:val="0"/>
          <w:bCs/>
          <w:szCs w:val="32"/>
          <w:lang w:val="en-US" w:eastAsia="zh-CN"/>
        </w:rPr>
        <w:t>6.62万元，</w:t>
      </w:r>
      <w:r>
        <w:rPr>
          <w:rStyle w:val="13"/>
          <w:rFonts w:hint="eastAsia" w:ascii="仿宋_GB2312" w:hAnsi="仿宋_GB2312" w:eastAsia="仿宋_GB2312" w:cs="仿宋_GB2312"/>
          <w:b w:val="0"/>
          <w:bCs/>
          <w:szCs w:val="32"/>
        </w:rPr>
        <w:t>一般公共预算拨款收入</w:t>
      </w:r>
      <w:r>
        <w:rPr>
          <w:rStyle w:val="13"/>
          <w:rFonts w:hint="eastAsia" w:ascii="仿宋_GB2312" w:hAnsi="仿宋_GB2312" w:eastAsia="仿宋_GB2312" w:cs="仿宋_GB2312"/>
          <w:b w:val="0"/>
          <w:bCs/>
          <w:szCs w:val="32"/>
          <w:lang w:val="en-US" w:eastAsia="zh-CN"/>
        </w:rPr>
        <w:t>634.04</w:t>
      </w:r>
      <w:r>
        <w:rPr>
          <w:rStyle w:val="13"/>
          <w:rFonts w:hint="eastAsia" w:ascii="仿宋_GB2312" w:hAnsi="仿宋_GB2312" w:eastAsia="仿宋_GB2312" w:cs="仿宋_GB2312"/>
          <w:b w:val="0"/>
          <w:bCs/>
          <w:szCs w:val="32"/>
        </w:rPr>
        <w:t>万元，</w:t>
      </w:r>
      <w:r>
        <w:rPr>
          <w:rStyle w:val="13"/>
          <w:rFonts w:hint="eastAsia" w:ascii="仿宋_GB2312" w:hAnsi="仿宋_GB2312" w:eastAsia="仿宋_GB2312" w:cs="仿宋_GB2312"/>
          <w:b w:val="0"/>
          <w:bCs/>
          <w:szCs w:val="32"/>
          <w:lang w:eastAsia="zh-CN"/>
        </w:rPr>
        <w:t>政府性基金预算拨款收入</w:t>
      </w:r>
      <w:r>
        <w:rPr>
          <w:rStyle w:val="13"/>
          <w:rFonts w:hint="eastAsia" w:ascii="仿宋_GB2312" w:hAnsi="仿宋_GB2312" w:eastAsia="仿宋_GB2312" w:cs="仿宋_GB2312"/>
          <w:b w:val="0"/>
          <w:bCs/>
          <w:szCs w:val="32"/>
          <w:lang w:val="en-US" w:eastAsia="zh-CN"/>
        </w:rPr>
        <w:t>115.00万元。</w:t>
      </w:r>
      <w:r>
        <w:rPr>
          <w:rStyle w:val="13"/>
          <w:rFonts w:hint="eastAsia" w:ascii="仿宋_GB2312" w:hAnsi="仿宋_GB2312" w:eastAsia="仿宋_GB2312" w:cs="仿宋_GB2312"/>
          <w:b w:val="0"/>
          <w:bCs/>
          <w:szCs w:val="32"/>
        </w:rPr>
        <w:t>支出包括：教育支出</w:t>
      </w:r>
      <w:r>
        <w:rPr>
          <w:rStyle w:val="13"/>
          <w:rFonts w:hint="eastAsia" w:ascii="仿宋_GB2312" w:hAnsi="仿宋_GB2312" w:eastAsia="仿宋_GB2312" w:cs="仿宋_GB2312"/>
          <w:b w:val="0"/>
          <w:bCs/>
          <w:szCs w:val="32"/>
          <w:lang w:val="en-US" w:eastAsia="zh-CN"/>
        </w:rPr>
        <w:t>350.90</w:t>
      </w:r>
      <w:r>
        <w:rPr>
          <w:rStyle w:val="13"/>
          <w:rFonts w:hint="eastAsia" w:ascii="仿宋_GB2312" w:hAnsi="仿宋_GB2312" w:eastAsia="仿宋_GB2312" w:cs="仿宋_GB2312"/>
          <w:b w:val="0"/>
          <w:bCs/>
          <w:szCs w:val="32"/>
        </w:rPr>
        <w:t>万元</w:t>
      </w:r>
      <w:r>
        <w:rPr>
          <w:rStyle w:val="13"/>
          <w:rFonts w:hint="eastAsia" w:ascii="仿宋_GB2312" w:hAnsi="仿宋_GB2312" w:eastAsia="仿宋_GB2312" w:cs="仿宋_GB2312"/>
          <w:b w:val="0"/>
          <w:bCs/>
          <w:szCs w:val="32"/>
          <w:lang w:val="en-US" w:eastAsia="zh-CN"/>
        </w:rPr>
        <w:t>,文化旅游体育与传媒支出228.00万元,社会保障和就业支出23.59万元，卫生健康支出14.11万元，住房保障支出17.44万元，其他支出(</w:t>
      </w:r>
      <w:r>
        <w:rPr>
          <w:rStyle w:val="13"/>
          <w:rFonts w:hint="eastAsia" w:ascii="仿宋_GB2312" w:hAnsi="仿宋_GB2312" w:eastAsia="仿宋_GB2312" w:cs="仿宋_GB2312"/>
          <w:b w:val="0"/>
          <w:bCs/>
          <w:szCs w:val="32"/>
          <w:lang w:eastAsia="zh-CN"/>
        </w:rPr>
        <w:t>政府性基金</w:t>
      </w:r>
      <w:r>
        <w:rPr>
          <w:rStyle w:val="13"/>
          <w:rFonts w:hint="eastAsia" w:ascii="仿宋_GB2312" w:hAnsi="仿宋_GB2312" w:eastAsia="仿宋_GB2312" w:cs="仿宋_GB2312"/>
          <w:b w:val="0"/>
          <w:bCs/>
          <w:szCs w:val="32"/>
          <w:lang w:val="en-US" w:eastAsia="zh-CN"/>
        </w:rPr>
        <w:t>)121.62万元</w:t>
      </w:r>
      <w:r>
        <w:rPr>
          <w:rStyle w:val="13"/>
          <w:rFonts w:hint="eastAsia" w:ascii="仿宋_GB2312" w:hAnsi="仿宋_GB2312" w:eastAsia="仿宋_GB2312" w:cs="仿宋_GB2312"/>
          <w:b w:val="0"/>
          <w:bCs/>
          <w:szCs w:val="32"/>
        </w:rPr>
        <w:t>。</w:t>
      </w:r>
    </w:p>
    <w:p>
      <w:pPr>
        <w:keepNext w:val="0"/>
        <w:keepLines w:val="0"/>
        <w:pageBreakBefore w:val="0"/>
        <w:widowControl w:val="0"/>
        <w:kinsoku/>
        <w:wordWrap/>
        <w:overflowPunct/>
        <w:topLinePunct w:val="0"/>
        <w:bidi w:val="0"/>
        <w:spacing w:line="570" w:lineRule="exact"/>
        <w:ind w:left="0" w:leftChars="0" w:right="0" w:rightChars="0" w:firstLine="640" w:firstLineChars="200"/>
        <w:textAlignment w:val="auto"/>
        <w:rPr>
          <w:rFonts w:ascii="黑体" w:hAnsi="黑体" w:eastAsia="黑体"/>
          <w:color w:val="auto"/>
          <w:sz w:val="32"/>
          <w:szCs w:val="32"/>
        </w:rPr>
      </w:pPr>
      <w:r>
        <w:rPr>
          <w:rFonts w:hint="eastAsia" w:ascii="黑体" w:hAnsi="黑体" w:eastAsia="黑体"/>
          <w:color w:val="auto"/>
          <w:sz w:val="32"/>
          <w:szCs w:val="32"/>
        </w:rPr>
        <w:t>五、202</w:t>
      </w:r>
      <w:r>
        <w:rPr>
          <w:rFonts w:hint="eastAsia" w:ascii="黑体" w:hAnsi="黑体" w:eastAsia="黑体"/>
          <w:color w:val="auto"/>
          <w:sz w:val="32"/>
          <w:szCs w:val="32"/>
          <w:lang w:val="en-US" w:eastAsia="zh-CN"/>
        </w:rPr>
        <w:t>3</w:t>
      </w:r>
      <w:r>
        <w:rPr>
          <w:rFonts w:hint="eastAsia" w:ascii="黑体" w:hAnsi="黑体" w:eastAsia="黑体"/>
          <w:color w:val="auto"/>
          <w:sz w:val="32"/>
          <w:szCs w:val="32"/>
        </w:rPr>
        <w:t>年度一般公共预算支出表的说明</w:t>
      </w:r>
    </w:p>
    <w:p>
      <w:pPr>
        <w:keepNext w:val="0"/>
        <w:keepLines w:val="0"/>
        <w:pageBreakBefore w:val="0"/>
        <w:widowControl w:val="0"/>
        <w:kinsoku/>
        <w:wordWrap/>
        <w:overflowPunct/>
        <w:topLinePunct w:val="0"/>
        <w:bidi w:val="0"/>
        <w:spacing w:line="570" w:lineRule="exact"/>
        <w:ind w:left="0" w:leftChars="0" w:right="0" w:rightChars="0" w:firstLine="320" w:firstLineChars="100"/>
        <w:textAlignment w:val="auto"/>
        <w:rPr>
          <w:rFonts w:ascii="楷体" w:hAnsi="楷体" w:eastAsia="楷体"/>
          <w:sz w:val="32"/>
          <w:szCs w:val="32"/>
        </w:rPr>
      </w:pPr>
      <w:r>
        <w:rPr>
          <w:rFonts w:hint="eastAsia" w:ascii="楷体" w:hAnsi="楷体" w:eastAsia="楷体"/>
          <w:sz w:val="32"/>
          <w:szCs w:val="32"/>
        </w:rPr>
        <w:t>（一）一般公共预算当年拨款规模变化情况。</w:t>
      </w:r>
    </w:p>
    <w:p>
      <w:pPr>
        <w:keepNext w:val="0"/>
        <w:keepLines w:val="0"/>
        <w:pageBreakBefore w:val="0"/>
        <w:widowControl/>
        <w:kinsoku/>
        <w:wordWrap/>
        <w:overflowPunct/>
        <w:topLinePunct w:val="0"/>
        <w:autoSpaceDE/>
        <w:autoSpaceDN/>
        <w:bidi w:val="0"/>
        <w:adjustRightInd w:val="0"/>
        <w:snapToGrid w:val="0"/>
        <w:spacing w:after="0" w:line="570" w:lineRule="exact"/>
        <w:ind w:firstLine="608" w:firstLineChars="200"/>
        <w:jc w:val="both"/>
        <w:textAlignment w:val="auto"/>
        <w:rPr>
          <w:rFonts w:hint="default" w:ascii="仿宋_GB2312" w:hAnsi="黑体" w:eastAsia="仿宋_GB2312"/>
          <w:snapToGrid w:val="0"/>
          <w:w w:val="95"/>
          <w:sz w:val="32"/>
          <w:szCs w:val="32"/>
          <w:lang w:val="en-US" w:eastAsia="zh-CN"/>
        </w:rPr>
      </w:pPr>
      <w:r>
        <w:rPr>
          <w:rFonts w:hint="eastAsia" w:ascii="仿宋_GB2312" w:hAnsi="黑体" w:eastAsia="仿宋_GB2312"/>
          <w:snapToGrid w:val="0"/>
          <w:w w:val="95"/>
          <w:sz w:val="32"/>
          <w:szCs w:val="32"/>
          <w:lang w:val="en-US" w:eastAsia="zh-CN"/>
        </w:rPr>
        <w:t>2023年一般公共预算当年拨款634.04万元,包括基本支出251.33万元，项目支出382.71万元。较2022年基本支出增长21%，主要原因为社保基数调整，工资福利费用增加。较2022年项目支出增加-1615%,主要原因为2023年把2022年预算失误的学校经费预算到各个学校了。</w:t>
      </w:r>
    </w:p>
    <w:p>
      <w:pPr>
        <w:keepNext w:val="0"/>
        <w:keepLines w:val="0"/>
        <w:pageBreakBefore w:val="0"/>
        <w:widowControl w:val="0"/>
        <w:kinsoku/>
        <w:wordWrap/>
        <w:overflowPunct/>
        <w:topLinePunct w:val="0"/>
        <w:bidi w:val="0"/>
        <w:spacing w:line="570" w:lineRule="exact"/>
        <w:ind w:left="0" w:leftChars="0" w:right="0" w:rightChars="0" w:firstLine="640" w:firstLineChars="200"/>
        <w:textAlignment w:val="auto"/>
        <w:rPr>
          <w:rFonts w:ascii="楷体" w:hAnsi="楷体" w:eastAsia="楷体"/>
          <w:sz w:val="32"/>
          <w:szCs w:val="32"/>
        </w:rPr>
      </w:pPr>
      <w:r>
        <w:rPr>
          <w:rFonts w:hint="eastAsia" w:ascii="楷体" w:hAnsi="楷体" w:eastAsia="楷体"/>
          <w:sz w:val="32"/>
          <w:szCs w:val="32"/>
        </w:rPr>
        <w:t>（二）一般公共预算当年拨款结构情况。</w:t>
      </w:r>
    </w:p>
    <w:p>
      <w:pPr>
        <w:pStyle w:val="12"/>
        <w:keepNext w:val="0"/>
        <w:keepLines w:val="0"/>
        <w:pageBreakBefore w:val="0"/>
        <w:widowControl w:val="0"/>
        <w:kinsoku/>
        <w:wordWrap/>
        <w:overflowPunct/>
        <w:topLinePunct w:val="0"/>
        <w:bidi w:val="0"/>
        <w:adjustRightInd w:val="0"/>
        <w:snapToGrid w:val="0"/>
        <w:spacing w:line="570" w:lineRule="exact"/>
        <w:ind w:left="0" w:leftChars="0" w:right="0" w:rightChars="0" w:firstLine="608" w:firstLineChars="200"/>
        <w:textAlignment w:val="auto"/>
        <w:rPr>
          <w:rFonts w:hint="eastAsia" w:ascii="仿宋_GB2312" w:hAnsi="仿宋_GB2312" w:eastAsia="仿宋_GB2312" w:cs="仿宋_GB2312"/>
          <w:snapToGrid w:val="0"/>
          <w:w w:val="95"/>
          <w:kern w:val="2"/>
          <w:sz w:val="32"/>
          <w:szCs w:val="32"/>
          <w:lang w:val="en-US" w:eastAsia="zh-CN" w:bidi="ar-SA"/>
        </w:rPr>
      </w:pPr>
      <w:r>
        <w:rPr>
          <w:rFonts w:hint="eastAsia" w:ascii="仿宋_GB2312" w:hAnsi="仿宋_GB2312" w:eastAsia="仿宋_GB2312" w:cs="仿宋_GB2312"/>
          <w:snapToGrid w:val="0"/>
          <w:w w:val="95"/>
          <w:kern w:val="2"/>
          <w:sz w:val="32"/>
          <w:szCs w:val="32"/>
          <w:lang w:val="zh-CN" w:eastAsia="zh-CN" w:bidi="ar-SA"/>
        </w:rPr>
        <w:t>202</w:t>
      </w:r>
      <w:r>
        <w:rPr>
          <w:rFonts w:hint="eastAsia" w:ascii="仿宋_GB2312" w:hAnsi="仿宋_GB2312" w:eastAsia="仿宋_GB2312" w:cs="仿宋_GB2312"/>
          <w:snapToGrid w:val="0"/>
          <w:w w:val="95"/>
          <w:kern w:val="2"/>
          <w:sz w:val="32"/>
          <w:szCs w:val="32"/>
          <w:lang w:val="en-US" w:eastAsia="zh-CN" w:bidi="ar-SA"/>
        </w:rPr>
        <w:t>3</w:t>
      </w:r>
      <w:r>
        <w:rPr>
          <w:rFonts w:hint="eastAsia" w:ascii="仿宋_GB2312" w:hAnsi="仿宋_GB2312" w:eastAsia="仿宋_GB2312" w:cs="仿宋_GB2312"/>
          <w:snapToGrid w:val="0"/>
          <w:w w:val="95"/>
          <w:kern w:val="2"/>
          <w:sz w:val="32"/>
          <w:szCs w:val="32"/>
          <w:lang w:val="zh-CN" w:eastAsia="zh-CN" w:bidi="ar-SA"/>
        </w:rPr>
        <w:t>年度支出预算</w:t>
      </w:r>
      <w:r>
        <w:rPr>
          <w:rFonts w:hint="eastAsia" w:ascii="仿宋_GB2312" w:hAnsi="仿宋_GB2312" w:eastAsia="仿宋_GB2312" w:cs="仿宋_GB2312"/>
          <w:snapToGrid w:val="0"/>
          <w:w w:val="95"/>
          <w:kern w:val="2"/>
          <w:sz w:val="32"/>
          <w:szCs w:val="32"/>
          <w:lang w:val="en-US" w:eastAsia="zh-CN" w:bidi="ar-SA"/>
        </w:rPr>
        <w:t>634.04</w:t>
      </w:r>
      <w:r>
        <w:rPr>
          <w:rFonts w:hint="eastAsia" w:ascii="仿宋_GB2312" w:hAnsi="仿宋_GB2312" w:eastAsia="仿宋_GB2312" w:cs="仿宋_GB2312"/>
          <w:snapToGrid w:val="0"/>
          <w:w w:val="95"/>
          <w:kern w:val="2"/>
          <w:sz w:val="32"/>
          <w:szCs w:val="32"/>
          <w:lang w:val="zh-CN" w:eastAsia="zh-CN" w:bidi="ar-SA"/>
        </w:rPr>
        <w:t>万元，其中：基本支出</w:t>
      </w:r>
      <w:r>
        <w:rPr>
          <w:rFonts w:hint="eastAsia" w:ascii="仿宋_GB2312" w:hAnsi="仿宋_GB2312" w:eastAsia="仿宋_GB2312" w:cs="仿宋_GB2312"/>
          <w:snapToGrid w:val="0"/>
          <w:w w:val="95"/>
          <w:kern w:val="2"/>
          <w:sz w:val="32"/>
          <w:szCs w:val="32"/>
          <w:lang w:val="en-US" w:eastAsia="zh-CN" w:bidi="ar-SA"/>
        </w:rPr>
        <w:t>251.33</w:t>
      </w:r>
      <w:r>
        <w:rPr>
          <w:rFonts w:hint="eastAsia" w:ascii="仿宋_GB2312" w:hAnsi="仿宋_GB2312" w:eastAsia="仿宋_GB2312" w:cs="仿宋_GB2312"/>
          <w:snapToGrid w:val="0"/>
          <w:w w:val="95"/>
          <w:kern w:val="2"/>
          <w:sz w:val="32"/>
          <w:szCs w:val="32"/>
          <w:lang w:val="zh-CN" w:eastAsia="zh-CN" w:bidi="ar-SA"/>
        </w:rPr>
        <w:t>万元，占</w:t>
      </w:r>
      <w:r>
        <w:rPr>
          <w:rFonts w:hint="eastAsia" w:ascii="仿宋_GB2312" w:hAnsi="仿宋_GB2312" w:eastAsia="仿宋_GB2312" w:cs="仿宋_GB2312"/>
          <w:snapToGrid w:val="0"/>
          <w:w w:val="95"/>
          <w:kern w:val="2"/>
          <w:sz w:val="32"/>
          <w:szCs w:val="32"/>
          <w:lang w:val="en-US" w:eastAsia="zh-CN" w:bidi="ar-SA"/>
        </w:rPr>
        <w:t>40</w:t>
      </w:r>
      <w:r>
        <w:rPr>
          <w:rFonts w:hint="eastAsia" w:ascii="仿宋_GB2312" w:hAnsi="仿宋_GB2312" w:eastAsia="仿宋_GB2312" w:cs="仿宋_GB2312"/>
          <w:snapToGrid w:val="0"/>
          <w:w w:val="95"/>
          <w:kern w:val="2"/>
          <w:sz w:val="32"/>
          <w:szCs w:val="32"/>
          <w:lang w:val="zh-CN" w:eastAsia="zh-CN" w:bidi="ar-SA"/>
        </w:rPr>
        <w:t>%；项目支出</w:t>
      </w:r>
      <w:r>
        <w:rPr>
          <w:rFonts w:hint="eastAsia" w:ascii="仿宋_GB2312" w:hAnsi="仿宋_GB2312" w:eastAsia="仿宋_GB2312" w:cs="仿宋_GB2312"/>
          <w:snapToGrid w:val="0"/>
          <w:w w:val="95"/>
          <w:kern w:val="2"/>
          <w:sz w:val="32"/>
          <w:szCs w:val="32"/>
          <w:lang w:val="en-US" w:eastAsia="zh-CN" w:bidi="ar-SA"/>
        </w:rPr>
        <w:t>382.71</w:t>
      </w:r>
      <w:r>
        <w:rPr>
          <w:rFonts w:hint="eastAsia" w:ascii="仿宋_GB2312" w:hAnsi="仿宋_GB2312" w:eastAsia="仿宋_GB2312" w:cs="仿宋_GB2312"/>
          <w:snapToGrid w:val="0"/>
          <w:w w:val="95"/>
          <w:kern w:val="2"/>
          <w:sz w:val="32"/>
          <w:szCs w:val="32"/>
          <w:lang w:val="zh-CN" w:eastAsia="zh-CN" w:bidi="ar-SA"/>
        </w:rPr>
        <w:t>万元，占</w:t>
      </w:r>
      <w:r>
        <w:rPr>
          <w:rFonts w:hint="eastAsia" w:ascii="仿宋_GB2312" w:hAnsi="仿宋_GB2312" w:eastAsia="仿宋_GB2312" w:cs="仿宋_GB2312"/>
          <w:snapToGrid w:val="0"/>
          <w:w w:val="95"/>
          <w:kern w:val="2"/>
          <w:sz w:val="32"/>
          <w:szCs w:val="32"/>
          <w:lang w:val="en-US" w:eastAsia="zh-CN" w:bidi="ar-SA"/>
        </w:rPr>
        <w:t>60</w:t>
      </w:r>
      <w:r>
        <w:rPr>
          <w:rFonts w:hint="eastAsia" w:ascii="仿宋_GB2312" w:hAnsi="仿宋_GB2312" w:eastAsia="仿宋_GB2312" w:cs="仿宋_GB2312"/>
          <w:snapToGrid w:val="0"/>
          <w:w w:val="95"/>
          <w:kern w:val="2"/>
          <w:sz w:val="32"/>
          <w:szCs w:val="32"/>
          <w:lang w:val="zh-CN" w:eastAsia="zh-CN" w:bidi="ar-SA"/>
        </w:rPr>
        <w:t>%。其中教育支出350.90万元，文化旅游体育与传媒支出228.00万元，社会保障和就业支出23.59万元，卫生健康支出14.11万元，住房保障支出17.44万元</w:t>
      </w:r>
      <w:r>
        <w:rPr>
          <w:rFonts w:hint="eastAsia" w:ascii="仿宋_GB2312" w:hAnsi="仿宋_GB2312" w:eastAsia="仿宋_GB2312" w:cs="仿宋_GB2312"/>
          <w:snapToGrid w:val="0"/>
          <w:w w:val="95"/>
          <w:kern w:val="2"/>
          <w:sz w:val="32"/>
          <w:szCs w:val="32"/>
          <w:lang w:val="en-US" w:eastAsia="zh-CN" w:bidi="ar-SA"/>
        </w:rPr>
        <w:t>。</w:t>
      </w:r>
    </w:p>
    <w:p>
      <w:pPr>
        <w:keepNext w:val="0"/>
        <w:keepLines w:val="0"/>
        <w:pageBreakBefore w:val="0"/>
        <w:widowControl w:val="0"/>
        <w:kinsoku/>
        <w:wordWrap/>
        <w:overflowPunct/>
        <w:topLinePunct w:val="0"/>
        <w:bidi w:val="0"/>
        <w:spacing w:line="570" w:lineRule="exact"/>
        <w:ind w:left="0" w:leftChars="0" w:right="0" w:rightChars="0" w:firstLine="640" w:firstLineChars="200"/>
        <w:textAlignment w:val="auto"/>
        <w:rPr>
          <w:rFonts w:ascii="楷体" w:hAnsi="楷体" w:eastAsia="楷体"/>
          <w:sz w:val="32"/>
          <w:szCs w:val="32"/>
          <w:highlight w:val="none"/>
        </w:rPr>
      </w:pPr>
      <w:r>
        <w:rPr>
          <w:rFonts w:hint="eastAsia" w:ascii="楷体" w:hAnsi="楷体" w:eastAsia="楷体"/>
          <w:sz w:val="32"/>
          <w:szCs w:val="32"/>
          <w:highlight w:val="none"/>
        </w:rPr>
        <w:t>（三）一般公共预算当年拨款具体使用情况。</w:t>
      </w:r>
    </w:p>
    <w:p>
      <w:pPr>
        <w:keepNext w:val="0"/>
        <w:keepLines w:val="0"/>
        <w:pageBreakBefore w:val="0"/>
        <w:widowControl w:val="0"/>
        <w:kinsoku/>
        <w:wordWrap/>
        <w:overflowPunct/>
        <w:topLinePunct w:val="0"/>
        <w:bidi w:val="0"/>
        <w:spacing w:line="570" w:lineRule="exact"/>
        <w:ind w:left="0" w:leftChars="0" w:right="0" w:rightChars="0" w:firstLine="608" w:firstLineChars="200"/>
        <w:textAlignment w:val="auto"/>
        <w:rPr>
          <w:rFonts w:ascii="仿宋_GB2312" w:hAnsi="黑体" w:eastAsia="仿宋_GB2312"/>
          <w:bCs/>
          <w:snapToGrid w:val="0"/>
          <w:w w:val="95"/>
          <w:sz w:val="32"/>
          <w:szCs w:val="32"/>
        </w:rPr>
      </w:pPr>
      <w:r>
        <w:rPr>
          <w:rFonts w:hint="eastAsia" w:ascii="仿宋_GB2312" w:hAnsi="黑体" w:eastAsia="仿宋_GB2312"/>
          <w:snapToGrid w:val="0"/>
          <w:w w:val="95"/>
          <w:sz w:val="32"/>
          <w:szCs w:val="32"/>
        </w:rPr>
        <w:t>202</w:t>
      </w:r>
      <w:r>
        <w:rPr>
          <w:rFonts w:hint="eastAsia" w:ascii="仿宋_GB2312" w:hAnsi="黑体" w:eastAsia="仿宋_GB2312"/>
          <w:snapToGrid w:val="0"/>
          <w:w w:val="95"/>
          <w:sz w:val="32"/>
          <w:szCs w:val="32"/>
          <w:lang w:val="en-US" w:eastAsia="zh-CN"/>
        </w:rPr>
        <w:t>3</w:t>
      </w:r>
      <w:r>
        <w:rPr>
          <w:rFonts w:hint="eastAsia" w:ascii="仿宋_GB2312" w:hAnsi="黑体" w:eastAsia="仿宋_GB2312"/>
          <w:snapToGrid w:val="0"/>
          <w:w w:val="95"/>
          <w:sz w:val="32"/>
          <w:szCs w:val="32"/>
        </w:rPr>
        <w:t>年度一般公</w:t>
      </w:r>
      <w:r>
        <w:rPr>
          <w:rFonts w:hint="eastAsia" w:ascii="仿宋_GB2312" w:hAnsi="仿宋_GB2312" w:eastAsia="仿宋_GB2312" w:cs="仿宋_GB2312"/>
          <w:snapToGrid w:val="0"/>
          <w:w w:val="95"/>
          <w:sz w:val="32"/>
          <w:szCs w:val="32"/>
        </w:rPr>
        <w:t>共预算当年拨款支出</w:t>
      </w:r>
      <w:r>
        <w:rPr>
          <w:rStyle w:val="13"/>
          <w:rFonts w:hint="eastAsia" w:ascii="仿宋_GB2312" w:hAnsi="仿宋_GB2312" w:eastAsia="仿宋_GB2312" w:cs="仿宋_GB2312"/>
          <w:b w:val="0"/>
          <w:bCs/>
          <w:szCs w:val="32"/>
          <w:lang w:val="en-US" w:eastAsia="zh-CN"/>
        </w:rPr>
        <w:t>634.04</w:t>
      </w:r>
      <w:r>
        <w:rPr>
          <w:rFonts w:hint="eastAsia" w:ascii="仿宋_GB2312" w:hAnsi="仿宋_GB2312" w:eastAsia="仿宋_GB2312" w:cs="仿宋_GB2312"/>
          <w:snapToGrid w:val="0"/>
          <w:w w:val="95"/>
          <w:sz w:val="32"/>
          <w:szCs w:val="32"/>
        </w:rPr>
        <w:t>万元</w:t>
      </w:r>
      <w:r>
        <w:rPr>
          <w:rFonts w:hint="eastAsia" w:ascii="仿宋_GB2312" w:hAnsi="黑体" w:eastAsia="仿宋_GB2312"/>
          <w:snapToGrid w:val="0"/>
          <w:w w:val="95"/>
          <w:sz w:val="32"/>
          <w:szCs w:val="32"/>
        </w:rPr>
        <w:t>。</w:t>
      </w:r>
      <w:r>
        <w:rPr>
          <w:rFonts w:hint="eastAsia" w:ascii="仿宋_GB2312" w:hAnsi="黑体" w:eastAsia="仿宋_GB2312"/>
          <w:bCs/>
          <w:snapToGrid w:val="0"/>
          <w:w w:val="95"/>
          <w:sz w:val="32"/>
          <w:szCs w:val="32"/>
        </w:rPr>
        <w:t>其中：</w:t>
      </w:r>
    </w:p>
    <w:p>
      <w:pPr>
        <w:keepNext w:val="0"/>
        <w:keepLines w:val="0"/>
        <w:pageBreakBefore w:val="0"/>
        <w:widowControl w:val="0"/>
        <w:kinsoku/>
        <w:wordWrap/>
        <w:overflowPunct/>
        <w:topLinePunct w:val="0"/>
        <w:bidi w:val="0"/>
        <w:spacing w:line="570" w:lineRule="exact"/>
        <w:ind w:left="0" w:leftChars="0" w:right="0" w:rightChars="0" w:firstLine="608" w:firstLineChars="200"/>
        <w:textAlignment w:val="auto"/>
        <w:rPr>
          <w:rFonts w:hint="eastAsia" w:ascii="仿宋_GB2312" w:hAnsi="仿宋_GB2312" w:eastAsia="仿宋_GB2312" w:cs="仿宋_GB2312"/>
          <w:snapToGrid w:val="0"/>
          <w:w w:val="95"/>
          <w:sz w:val="32"/>
          <w:szCs w:val="32"/>
          <w:lang w:val="zh-CN"/>
        </w:rPr>
      </w:pPr>
      <w:r>
        <w:rPr>
          <w:rFonts w:hint="eastAsia" w:ascii="仿宋_GB2312" w:hAnsi="仿宋_GB2312" w:eastAsia="仿宋_GB2312" w:cs="仿宋_GB2312"/>
          <w:snapToGrid w:val="0"/>
          <w:w w:val="95"/>
          <w:sz w:val="32"/>
          <w:szCs w:val="32"/>
          <w:lang w:val="en-US" w:eastAsia="zh-CN"/>
        </w:rPr>
        <w:t>1.</w:t>
      </w:r>
      <w:r>
        <w:rPr>
          <w:rFonts w:hint="eastAsia" w:ascii="仿宋_GB2312" w:hAnsi="仿宋_GB2312" w:eastAsia="仿宋_GB2312" w:cs="仿宋_GB2312"/>
          <w:snapToGrid w:val="0"/>
          <w:w w:val="95"/>
          <w:sz w:val="32"/>
          <w:szCs w:val="32"/>
          <w:lang w:val="zh-CN"/>
        </w:rPr>
        <w:t>一般公共服务支出（类）政府办公厅（室）及相关机构事务（款）行政运行（项）2023年预算数为196.19万元，比2022年执行数增加</w:t>
      </w:r>
      <w:r>
        <w:rPr>
          <w:rFonts w:hint="eastAsia" w:ascii="仿宋_GB2312" w:hAnsi="仿宋_GB2312" w:eastAsia="仿宋_GB2312" w:cs="仿宋_GB2312"/>
          <w:snapToGrid w:val="0"/>
          <w:w w:val="95"/>
          <w:sz w:val="32"/>
          <w:szCs w:val="32"/>
          <w:lang w:val="en-US" w:eastAsia="zh-CN"/>
        </w:rPr>
        <w:t>42.03</w:t>
      </w:r>
      <w:r>
        <w:rPr>
          <w:rFonts w:hint="eastAsia" w:ascii="仿宋_GB2312" w:hAnsi="仿宋_GB2312" w:eastAsia="仿宋_GB2312" w:cs="仿宋_GB2312"/>
          <w:snapToGrid w:val="0"/>
          <w:w w:val="95"/>
          <w:sz w:val="32"/>
          <w:szCs w:val="32"/>
          <w:lang w:val="zh-CN"/>
        </w:rPr>
        <w:t>万元，增长</w:t>
      </w:r>
      <w:r>
        <w:rPr>
          <w:rFonts w:hint="eastAsia" w:ascii="仿宋_GB2312" w:hAnsi="仿宋_GB2312" w:eastAsia="仿宋_GB2312" w:cs="仿宋_GB2312"/>
          <w:snapToGrid w:val="0"/>
          <w:w w:val="95"/>
          <w:sz w:val="32"/>
          <w:szCs w:val="32"/>
          <w:lang w:val="en-US" w:eastAsia="zh-CN"/>
        </w:rPr>
        <w:t>21</w:t>
      </w:r>
      <w:r>
        <w:rPr>
          <w:rFonts w:hint="eastAsia" w:ascii="仿宋_GB2312" w:hAnsi="仿宋_GB2312" w:eastAsia="仿宋_GB2312" w:cs="仿宋_GB2312"/>
          <w:snapToGrid w:val="0"/>
          <w:w w:val="95"/>
          <w:sz w:val="32"/>
          <w:szCs w:val="32"/>
          <w:lang w:val="zh-CN"/>
        </w:rPr>
        <w:t>%。主要是奖金、津贴补贴、基本工资、休假探亲费、公用经费。原因是公用经费和人员经费增加。</w:t>
      </w:r>
    </w:p>
    <w:p>
      <w:pPr>
        <w:keepNext w:val="0"/>
        <w:keepLines w:val="0"/>
        <w:pageBreakBefore w:val="0"/>
        <w:widowControl w:val="0"/>
        <w:kinsoku/>
        <w:wordWrap/>
        <w:overflowPunct/>
        <w:topLinePunct w:val="0"/>
        <w:bidi w:val="0"/>
        <w:spacing w:line="570" w:lineRule="exact"/>
        <w:ind w:left="0" w:leftChars="0" w:right="0" w:rightChars="0" w:firstLine="608" w:firstLineChars="200"/>
        <w:textAlignment w:val="auto"/>
        <w:rPr>
          <w:rFonts w:hint="eastAsia" w:ascii="仿宋_GB2312" w:hAnsi="仿宋_GB2312" w:eastAsia="仿宋_GB2312" w:cs="仿宋_GB2312"/>
          <w:snapToGrid w:val="0"/>
          <w:w w:val="95"/>
          <w:sz w:val="32"/>
          <w:szCs w:val="32"/>
          <w:lang w:val="zh-CN"/>
        </w:rPr>
      </w:pPr>
      <w:r>
        <w:rPr>
          <w:rFonts w:hint="eastAsia" w:ascii="仿宋_GB2312" w:hAnsi="仿宋_GB2312" w:eastAsia="仿宋_GB2312" w:cs="仿宋_GB2312"/>
          <w:snapToGrid w:val="0"/>
          <w:w w:val="95"/>
          <w:sz w:val="32"/>
          <w:szCs w:val="32"/>
          <w:lang w:val="en-US" w:eastAsia="zh-CN"/>
        </w:rPr>
        <w:t>2.</w:t>
      </w:r>
      <w:r>
        <w:rPr>
          <w:rFonts w:hint="eastAsia" w:ascii="仿宋_GB2312" w:hAnsi="仿宋_GB2312" w:eastAsia="仿宋_GB2312" w:cs="仿宋_GB2312"/>
          <w:snapToGrid w:val="0"/>
          <w:w w:val="95"/>
          <w:sz w:val="32"/>
          <w:szCs w:val="32"/>
          <w:lang w:val="zh-CN"/>
        </w:rPr>
        <w:t>教育支出（类）普通教育支出（款）小学教育（项）2023年预算数为32.34万元。比2022年执行数增加</w:t>
      </w:r>
      <w:r>
        <w:rPr>
          <w:rFonts w:hint="eastAsia" w:ascii="仿宋_GB2312" w:hAnsi="仿宋_GB2312" w:eastAsia="仿宋_GB2312" w:cs="仿宋_GB2312"/>
          <w:snapToGrid w:val="0"/>
          <w:w w:val="95"/>
          <w:sz w:val="32"/>
          <w:szCs w:val="32"/>
          <w:lang w:val="en-US" w:eastAsia="zh-CN"/>
        </w:rPr>
        <w:t>-314.12</w:t>
      </w:r>
      <w:r>
        <w:rPr>
          <w:rFonts w:hint="eastAsia" w:ascii="仿宋_GB2312" w:hAnsi="仿宋_GB2312" w:eastAsia="仿宋_GB2312" w:cs="仿宋_GB2312"/>
          <w:snapToGrid w:val="0"/>
          <w:w w:val="95"/>
          <w:sz w:val="32"/>
          <w:szCs w:val="32"/>
          <w:lang w:val="zh-CN"/>
        </w:rPr>
        <w:t>万元，增长</w:t>
      </w:r>
      <w:r>
        <w:rPr>
          <w:rFonts w:hint="eastAsia" w:ascii="仿宋_GB2312" w:hAnsi="仿宋_GB2312" w:eastAsia="仿宋_GB2312" w:cs="仿宋_GB2312"/>
          <w:snapToGrid w:val="0"/>
          <w:w w:val="95"/>
          <w:sz w:val="32"/>
          <w:szCs w:val="32"/>
          <w:lang w:val="en-US" w:eastAsia="zh-CN"/>
        </w:rPr>
        <w:t>-971</w:t>
      </w:r>
      <w:r>
        <w:rPr>
          <w:rFonts w:hint="eastAsia" w:ascii="仿宋_GB2312" w:hAnsi="仿宋_GB2312" w:eastAsia="仿宋_GB2312" w:cs="仿宋_GB2312"/>
          <w:snapToGrid w:val="0"/>
          <w:w w:val="95"/>
          <w:sz w:val="32"/>
          <w:szCs w:val="32"/>
          <w:lang w:val="zh-CN"/>
        </w:rPr>
        <w:t>%。主要是小学的一些项目经费减少。</w:t>
      </w:r>
    </w:p>
    <w:p>
      <w:pPr>
        <w:keepNext w:val="0"/>
        <w:keepLines w:val="0"/>
        <w:pageBreakBefore w:val="0"/>
        <w:widowControl w:val="0"/>
        <w:kinsoku/>
        <w:wordWrap/>
        <w:overflowPunct/>
        <w:topLinePunct w:val="0"/>
        <w:bidi w:val="0"/>
        <w:spacing w:line="570" w:lineRule="exact"/>
        <w:ind w:left="0" w:leftChars="0" w:right="0" w:rightChars="0" w:firstLine="608" w:firstLineChars="200"/>
        <w:textAlignment w:val="auto"/>
        <w:rPr>
          <w:rFonts w:hint="eastAsia" w:ascii="仿宋_GB2312" w:hAnsi="仿宋_GB2312" w:eastAsia="仿宋_GB2312" w:cs="仿宋_GB2312"/>
          <w:snapToGrid w:val="0"/>
          <w:w w:val="95"/>
          <w:sz w:val="32"/>
          <w:szCs w:val="32"/>
          <w:lang w:val="zh-CN"/>
        </w:rPr>
      </w:pPr>
      <w:r>
        <w:rPr>
          <w:rFonts w:hint="eastAsia" w:ascii="仿宋_GB2312" w:hAnsi="仿宋_GB2312" w:eastAsia="仿宋_GB2312" w:cs="仿宋_GB2312"/>
          <w:snapToGrid w:val="0"/>
          <w:w w:val="95"/>
          <w:sz w:val="32"/>
          <w:szCs w:val="32"/>
          <w:lang w:val="en-US" w:eastAsia="zh-CN"/>
        </w:rPr>
        <w:t>3.</w:t>
      </w:r>
      <w:r>
        <w:rPr>
          <w:rFonts w:hint="eastAsia" w:ascii="仿宋_GB2312" w:hAnsi="仿宋_GB2312" w:eastAsia="仿宋_GB2312" w:cs="仿宋_GB2312"/>
          <w:snapToGrid w:val="0"/>
          <w:w w:val="95"/>
          <w:sz w:val="32"/>
          <w:szCs w:val="32"/>
          <w:lang w:val="zh-CN"/>
        </w:rPr>
        <w:t>教育支出（类）普通教育支出（款）初中教育（项）2023年预算数为13.05万元。比2022年执行数增加</w:t>
      </w:r>
      <w:r>
        <w:rPr>
          <w:rFonts w:hint="eastAsia" w:ascii="仿宋_GB2312" w:hAnsi="仿宋_GB2312" w:eastAsia="仿宋_GB2312" w:cs="仿宋_GB2312"/>
          <w:snapToGrid w:val="0"/>
          <w:w w:val="95"/>
          <w:sz w:val="32"/>
          <w:szCs w:val="32"/>
          <w:lang w:val="en-US" w:eastAsia="zh-CN"/>
        </w:rPr>
        <w:t>8.05</w:t>
      </w:r>
      <w:r>
        <w:rPr>
          <w:rFonts w:hint="eastAsia" w:ascii="仿宋_GB2312" w:hAnsi="仿宋_GB2312" w:eastAsia="仿宋_GB2312" w:cs="仿宋_GB2312"/>
          <w:snapToGrid w:val="0"/>
          <w:w w:val="95"/>
          <w:sz w:val="32"/>
          <w:szCs w:val="32"/>
          <w:lang w:val="zh-CN"/>
        </w:rPr>
        <w:t>万元，增长</w:t>
      </w:r>
      <w:r>
        <w:rPr>
          <w:rFonts w:hint="eastAsia" w:ascii="仿宋_GB2312" w:hAnsi="仿宋_GB2312" w:eastAsia="仿宋_GB2312" w:cs="仿宋_GB2312"/>
          <w:snapToGrid w:val="0"/>
          <w:w w:val="95"/>
          <w:sz w:val="32"/>
          <w:szCs w:val="32"/>
          <w:lang w:val="en-US" w:eastAsia="zh-CN"/>
        </w:rPr>
        <w:t>62</w:t>
      </w:r>
      <w:r>
        <w:rPr>
          <w:rFonts w:hint="eastAsia" w:ascii="仿宋_GB2312" w:hAnsi="仿宋_GB2312" w:eastAsia="仿宋_GB2312" w:cs="仿宋_GB2312"/>
          <w:snapToGrid w:val="0"/>
          <w:w w:val="95"/>
          <w:sz w:val="32"/>
          <w:szCs w:val="32"/>
          <w:lang w:val="zh-CN"/>
        </w:rPr>
        <w:t>%。主要是初中的一些专项资金增加。</w:t>
      </w:r>
    </w:p>
    <w:p>
      <w:pPr>
        <w:keepNext w:val="0"/>
        <w:keepLines w:val="0"/>
        <w:pageBreakBefore w:val="0"/>
        <w:widowControl w:val="0"/>
        <w:kinsoku/>
        <w:wordWrap/>
        <w:overflowPunct/>
        <w:topLinePunct w:val="0"/>
        <w:bidi w:val="0"/>
        <w:spacing w:line="570" w:lineRule="exact"/>
        <w:ind w:left="0" w:leftChars="0" w:right="0" w:rightChars="0" w:firstLine="608" w:firstLineChars="200"/>
        <w:textAlignment w:val="auto"/>
        <w:rPr>
          <w:rFonts w:hint="eastAsia" w:ascii="仿宋_GB2312" w:hAnsi="仿宋_GB2312" w:eastAsia="仿宋_GB2312" w:cs="仿宋_GB2312"/>
          <w:snapToGrid w:val="0"/>
          <w:w w:val="95"/>
          <w:sz w:val="32"/>
          <w:szCs w:val="32"/>
          <w:lang w:val="zh-CN"/>
        </w:rPr>
      </w:pPr>
      <w:r>
        <w:rPr>
          <w:rFonts w:hint="eastAsia" w:ascii="仿宋_GB2312" w:hAnsi="仿宋_GB2312" w:eastAsia="仿宋_GB2312" w:cs="仿宋_GB2312"/>
          <w:snapToGrid w:val="0"/>
          <w:w w:val="95"/>
          <w:sz w:val="32"/>
          <w:szCs w:val="32"/>
          <w:lang w:val="en-US" w:eastAsia="zh-CN"/>
        </w:rPr>
        <w:t>4.</w:t>
      </w:r>
      <w:r>
        <w:rPr>
          <w:rFonts w:hint="eastAsia" w:ascii="仿宋_GB2312" w:hAnsi="仿宋_GB2312" w:eastAsia="仿宋_GB2312" w:cs="仿宋_GB2312"/>
          <w:snapToGrid w:val="0"/>
          <w:w w:val="95"/>
          <w:sz w:val="32"/>
          <w:szCs w:val="32"/>
          <w:lang w:val="zh-CN"/>
        </w:rPr>
        <w:t>教育支出（类）普通教育支出（款）其他普通教育支出（项）2023年预算数为7.24万元。比2022年执行数增加</w:t>
      </w:r>
      <w:r>
        <w:rPr>
          <w:rFonts w:hint="eastAsia" w:ascii="仿宋_GB2312" w:hAnsi="仿宋_GB2312" w:eastAsia="仿宋_GB2312" w:cs="仿宋_GB2312"/>
          <w:snapToGrid w:val="0"/>
          <w:w w:val="95"/>
          <w:sz w:val="32"/>
          <w:szCs w:val="32"/>
          <w:lang w:val="en-US" w:eastAsia="zh-CN"/>
        </w:rPr>
        <w:t>-4003.94</w:t>
      </w:r>
      <w:r>
        <w:rPr>
          <w:rFonts w:hint="eastAsia" w:ascii="仿宋_GB2312" w:hAnsi="仿宋_GB2312" w:eastAsia="仿宋_GB2312" w:cs="仿宋_GB2312"/>
          <w:snapToGrid w:val="0"/>
          <w:w w:val="95"/>
          <w:sz w:val="32"/>
          <w:szCs w:val="32"/>
          <w:lang w:val="zh-CN"/>
        </w:rPr>
        <w:t>万元，增长</w:t>
      </w:r>
      <w:r>
        <w:rPr>
          <w:rFonts w:hint="eastAsia" w:ascii="仿宋_GB2312" w:hAnsi="仿宋_GB2312" w:eastAsia="仿宋_GB2312" w:cs="仿宋_GB2312"/>
          <w:snapToGrid w:val="0"/>
          <w:w w:val="95"/>
          <w:sz w:val="32"/>
          <w:szCs w:val="32"/>
          <w:lang w:val="en-US" w:eastAsia="zh-CN"/>
        </w:rPr>
        <w:t>-55503</w:t>
      </w:r>
      <w:r>
        <w:rPr>
          <w:rFonts w:hint="eastAsia" w:ascii="仿宋_GB2312" w:hAnsi="仿宋_GB2312" w:eastAsia="仿宋_GB2312" w:cs="仿宋_GB2312"/>
          <w:snapToGrid w:val="0"/>
          <w:w w:val="95"/>
          <w:sz w:val="32"/>
          <w:szCs w:val="32"/>
          <w:lang w:val="zh-CN"/>
        </w:rPr>
        <w:t>%。主要是因为去年的一些学校经费统一下到教育局，今年直接预算到校。</w:t>
      </w:r>
    </w:p>
    <w:p>
      <w:pPr>
        <w:keepNext w:val="0"/>
        <w:keepLines w:val="0"/>
        <w:pageBreakBefore w:val="0"/>
        <w:widowControl w:val="0"/>
        <w:kinsoku/>
        <w:wordWrap/>
        <w:overflowPunct/>
        <w:topLinePunct w:val="0"/>
        <w:bidi w:val="0"/>
        <w:spacing w:line="570" w:lineRule="exact"/>
        <w:ind w:left="0" w:leftChars="0" w:right="0" w:rightChars="0" w:firstLine="608" w:firstLineChars="200"/>
        <w:textAlignment w:val="auto"/>
        <w:rPr>
          <w:rFonts w:hint="eastAsia" w:ascii="仿宋_GB2312" w:hAnsi="仿宋_GB2312" w:eastAsia="仿宋_GB2312" w:cs="仿宋_GB2312"/>
          <w:snapToGrid w:val="0"/>
          <w:w w:val="95"/>
          <w:sz w:val="32"/>
          <w:szCs w:val="32"/>
          <w:lang w:val="zh-CN"/>
        </w:rPr>
      </w:pPr>
      <w:r>
        <w:rPr>
          <w:rFonts w:hint="eastAsia" w:ascii="仿宋_GB2312" w:hAnsi="仿宋_GB2312" w:eastAsia="仿宋_GB2312" w:cs="仿宋_GB2312"/>
          <w:snapToGrid w:val="0"/>
          <w:w w:val="95"/>
          <w:sz w:val="32"/>
          <w:szCs w:val="32"/>
          <w:lang w:val="en-US" w:eastAsia="zh-CN"/>
        </w:rPr>
        <w:t>5.</w:t>
      </w:r>
      <w:r>
        <w:rPr>
          <w:rFonts w:hint="eastAsia" w:ascii="仿宋_GB2312" w:hAnsi="仿宋_GB2312" w:eastAsia="仿宋_GB2312" w:cs="仿宋_GB2312"/>
          <w:snapToGrid w:val="0"/>
          <w:w w:val="95"/>
          <w:sz w:val="32"/>
          <w:szCs w:val="32"/>
          <w:lang w:val="zh-CN"/>
        </w:rPr>
        <w:t>教育支出（类）教育费附加安排的支出（款）其他教育费附加安排的支出（项）2023年预算数为84.25万元。比2022年执行数增加</w:t>
      </w:r>
      <w:r>
        <w:rPr>
          <w:rFonts w:hint="eastAsia" w:ascii="仿宋_GB2312" w:hAnsi="仿宋_GB2312" w:eastAsia="仿宋_GB2312" w:cs="仿宋_GB2312"/>
          <w:snapToGrid w:val="0"/>
          <w:w w:val="95"/>
          <w:sz w:val="32"/>
          <w:szCs w:val="32"/>
          <w:lang w:val="en-US" w:eastAsia="zh-CN"/>
        </w:rPr>
        <w:t>-20.52</w:t>
      </w:r>
      <w:r>
        <w:rPr>
          <w:rFonts w:hint="eastAsia" w:ascii="仿宋_GB2312" w:hAnsi="仿宋_GB2312" w:eastAsia="仿宋_GB2312" w:cs="仿宋_GB2312"/>
          <w:snapToGrid w:val="0"/>
          <w:w w:val="95"/>
          <w:sz w:val="32"/>
          <w:szCs w:val="32"/>
          <w:lang w:val="zh-CN"/>
        </w:rPr>
        <w:t>万元，增长</w:t>
      </w:r>
      <w:r>
        <w:rPr>
          <w:rFonts w:hint="eastAsia" w:ascii="仿宋_GB2312" w:hAnsi="仿宋_GB2312" w:eastAsia="仿宋_GB2312" w:cs="仿宋_GB2312"/>
          <w:snapToGrid w:val="0"/>
          <w:w w:val="95"/>
          <w:sz w:val="32"/>
          <w:szCs w:val="32"/>
          <w:lang w:val="en-US" w:eastAsia="zh-CN"/>
        </w:rPr>
        <w:t>-0.24</w:t>
      </w:r>
      <w:r>
        <w:rPr>
          <w:rFonts w:hint="eastAsia" w:ascii="仿宋_GB2312" w:hAnsi="仿宋_GB2312" w:eastAsia="仿宋_GB2312" w:cs="仿宋_GB2312"/>
          <w:snapToGrid w:val="0"/>
          <w:w w:val="95"/>
          <w:sz w:val="32"/>
          <w:szCs w:val="32"/>
          <w:lang w:val="zh-CN"/>
        </w:rPr>
        <w:t>%。</w:t>
      </w:r>
    </w:p>
    <w:p>
      <w:pPr>
        <w:keepNext w:val="0"/>
        <w:keepLines w:val="0"/>
        <w:pageBreakBefore w:val="0"/>
        <w:widowControl w:val="0"/>
        <w:kinsoku/>
        <w:wordWrap/>
        <w:overflowPunct/>
        <w:topLinePunct w:val="0"/>
        <w:bidi w:val="0"/>
        <w:spacing w:line="570" w:lineRule="exact"/>
        <w:ind w:left="0" w:leftChars="0" w:right="0" w:rightChars="0" w:firstLine="608" w:firstLineChars="200"/>
        <w:textAlignment w:val="auto"/>
        <w:rPr>
          <w:rFonts w:hint="eastAsia" w:ascii="仿宋_GB2312" w:hAnsi="仿宋_GB2312" w:eastAsia="仿宋_GB2312" w:cs="仿宋_GB2312"/>
          <w:snapToGrid w:val="0"/>
          <w:w w:val="95"/>
          <w:sz w:val="32"/>
          <w:szCs w:val="32"/>
          <w:lang w:val="zh-CN"/>
        </w:rPr>
      </w:pPr>
      <w:r>
        <w:rPr>
          <w:rFonts w:hint="eastAsia" w:ascii="仿宋_GB2312" w:hAnsi="仿宋_GB2312" w:eastAsia="仿宋_GB2312" w:cs="仿宋_GB2312"/>
          <w:snapToGrid w:val="0"/>
          <w:w w:val="95"/>
          <w:sz w:val="32"/>
          <w:szCs w:val="32"/>
          <w:lang w:val="en-US" w:eastAsia="zh-CN"/>
        </w:rPr>
        <w:t>6.</w:t>
      </w:r>
      <w:r>
        <w:rPr>
          <w:rFonts w:hint="eastAsia" w:ascii="仿宋_GB2312" w:hAnsi="仿宋_GB2312" w:eastAsia="仿宋_GB2312" w:cs="仿宋_GB2312"/>
          <w:snapToGrid w:val="0"/>
          <w:w w:val="95"/>
          <w:sz w:val="32"/>
          <w:szCs w:val="32"/>
          <w:lang w:val="zh-CN"/>
        </w:rPr>
        <w:t>教育支出（类）其他教育支出（款）其他教育支出（项）2023年预算数为17.82万元。比2022年执行数增加</w:t>
      </w:r>
      <w:r>
        <w:rPr>
          <w:rFonts w:hint="eastAsia" w:ascii="仿宋_GB2312" w:hAnsi="仿宋_GB2312" w:eastAsia="仿宋_GB2312" w:cs="仿宋_GB2312"/>
          <w:snapToGrid w:val="0"/>
          <w:w w:val="95"/>
          <w:sz w:val="32"/>
          <w:szCs w:val="32"/>
          <w:lang w:val="en-US" w:eastAsia="zh-CN"/>
        </w:rPr>
        <w:t>-2051.48</w:t>
      </w:r>
      <w:r>
        <w:rPr>
          <w:rFonts w:hint="eastAsia" w:ascii="仿宋_GB2312" w:hAnsi="仿宋_GB2312" w:eastAsia="仿宋_GB2312" w:cs="仿宋_GB2312"/>
          <w:snapToGrid w:val="0"/>
          <w:w w:val="95"/>
          <w:sz w:val="32"/>
          <w:szCs w:val="32"/>
          <w:lang w:val="zh-CN"/>
        </w:rPr>
        <w:t>万元，增长</w:t>
      </w:r>
      <w:r>
        <w:rPr>
          <w:rFonts w:hint="eastAsia" w:ascii="仿宋_GB2312" w:hAnsi="仿宋_GB2312" w:eastAsia="仿宋_GB2312" w:cs="仿宋_GB2312"/>
          <w:snapToGrid w:val="0"/>
          <w:w w:val="95"/>
          <w:sz w:val="32"/>
          <w:szCs w:val="32"/>
          <w:lang w:val="en-US" w:eastAsia="zh-CN"/>
        </w:rPr>
        <w:t>-11512</w:t>
      </w:r>
      <w:r>
        <w:rPr>
          <w:rFonts w:hint="eastAsia" w:ascii="仿宋_GB2312" w:hAnsi="仿宋_GB2312" w:eastAsia="仿宋_GB2312" w:cs="仿宋_GB2312"/>
          <w:snapToGrid w:val="0"/>
          <w:w w:val="95"/>
          <w:sz w:val="32"/>
          <w:szCs w:val="32"/>
          <w:lang w:val="zh-CN"/>
        </w:rPr>
        <w:t>%。</w:t>
      </w:r>
    </w:p>
    <w:p>
      <w:pPr>
        <w:keepNext w:val="0"/>
        <w:keepLines w:val="0"/>
        <w:pageBreakBefore w:val="0"/>
        <w:widowControl w:val="0"/>
        <w:kinsoku/>
        <w:wordWrap/>
        <w:overflowPunct/>
        <w:topLinePunct w:val="0"/>
        <w:bidi w:val="0"/>
        <w:spacing w:line="570" w:lineRule="exact"/>
        <w:ind w:left="0" w:leftChars="0" w:right="0" w:rightChars="0" w:firstLine="608" w:firstLineChars="200"/>
        <w:textAlignment w:val="auto"/>
        <w:rPr>
          <w:rFonts w:hint="eastAsia" w:ascii="仿宋_GB2312" w:hAnsi="仿宋_GB2312" w:eastAsia="仿宋_GB2312" w:cs="仿宋_GB2312"/>
          <w:snapToGrid w:val="0"/>
          <w:w w:val="95"/>
          <w:sz w:val="32"/>
          <w:szCs w:val="32"/>
          <w:lang w:val="zh-CN"/>
        </w:rPr>
      </w:pPr>
      <w:r>
        <w:rPr>
          <w:rFonts w:hint="eastAsia" w:ascii="仿宋_GB2312" w:hAnsi="仿宋_GB2312" w:eastAsia="仿宋_GB2312" w:cs="仿宋_GB2312"/>
          <w:snapToGrid w:val="0"/>
          <w:w w:val="95"/>
          <w:sz w:val="32"/>
          <w:szCs w:val="32"/>
          <w:lang w:val="en-US" w:eastAsia="zh-CN"/>
        </w:rPr>
        <w:t>7.</w:t>
      </w:r>
      <w:r>
        <w:rPr>
          <w:rFonts w:hint="eastAsia" w:ascii="仿宋_GB2312" w:hAnsi="仿宋_GB2312" w:eastAsia="仿宋_GB2312" w:cs="仿宋_GB2312"/>
          <w:snapToGrid w:val="0"/>
          <w:w w:val="95"/>
          <w:sz w:val="32"/>
          <w:szCs w:val="32"/>
          <w:lang w:val="zh-CN"/>
        </w:rPr>
        <w:t>文化旅游体育与传媒支出（类）体育（款）体育场馆（项）2023年预算数为128.00万元。比2022年执行数增加</w:t>
      </w:r>
      <w:r>
        <w:rPr>
          <w:rFonts w:hint="eastAsia" w:ascii="仿宋_GB2312" w:hAnsi="仿宋_GB2312" w:eastAsia="仿宋_GB2312" w:cs="仿宋_GB2312"/>
          <w:snapToGrid w:val="0"/>
          <w:w w:val="95"/>
          <w:sz w:val="32"/>
          <w:szCs w:val="32"/>
          <w:lang w:val="en-US" w:eastAsia="zh-CN"/>
        </w:rPr>
        <w:t>128</w:t>
      </w:r>
      <w:r>
        <w:rPr>
          <w:rFonts w:hint="eastAsia" w:ascii="仿宋_GB2312" w:hAnsi="仿宋_GB2312" w:eastAsia="仿宋_GB2312" w:cs="仿宋_GB2312"/>
          <w:snapToGrid w:val="0"/>
          <w:w w:val="95"/>
          <w:sz w:val="32"/>
          <w:szCs w:val="32"/>
          <w:lang w:val="zh-CN"/>
        </w:rPr>
        <w:t>万元，增长</w:t>
      </w:r>
      <w:r>
        <w:rPr>
          <w:rFonts w:hint="eastAsia" w:ascii="仿宋_GB2312" w:hAnsi="仿宋_GB2312" w:eastAsia="仿宋_GB2312" w:cs="仿宋_GB2312"/>
          <w:snapToGrid w:val="0"/>
          <w:w w:val="95"/>
          <w:sz w:val="32"/>
          <w:szCs w:val="32"/>
          <w:lang w:val="en-US" w:eastAsia="zh-CN"/>
        </w:rPr>
        <w:t>100</w:t>
      </w:r>
      <w:r>
        <w:rPr>
          <w:rFonts w:hint="eastAsia" w:ascii="仿宋_GB2312" w:hAnsi="仿宋_GB2312" w:eastAsia="仿宋_GB2312" w:cs="仿宋_GB2312"/>
          <w:snapToGrid w:val="0"/>
          <w:w w:val="95"/>
          <w:sz w:val="32"/>
          <w:szCs w:val="32"/>
          <w:lang w:val="zh-CN"/>
        </w:rPr>
        <w:t>%。</w:t>
      </w:r>
    </w:p>
    <w:p>
      <w:pPr>
        <w:keepNext w:val="0"/>
        <w:keepLines w:val="0"/>
        <w:pageBreakBefore w:val="0"/>
        <w:widowControl w:val="0"/>
        <w:kinsoku/>
        <w:wordWrap/>
        <w:overflowPunct/>
        <w:topLinePunct w:val="0"/>
        <w:bidi w:val="0"/>
        <w:spacing w:line="570" w:lineRule="exact"/>
        <w:ind w:left="0" w:leftChars="0" w:right="0" w:rightChars="0" w:firstLine="608" w:firstLineChars="200"/>
        <w:textAlignment w:val="auto"/>
        <w:rPr>
          <w:rFonts w:hint="eastAsia" w:ascii="仿宋_GB2312" w:hAnsi="仿宋_GB2312" w:eastAsia="仿宋_GB2312" w:cs="仿宋_GB2312"/>
          <w:snapToGrid w:val="0"/>
          <w:w w:val="95"/>
          <w:sz w:val="32"/>
          <w:szCs w:val="32"/>
          <w:lang w:val="zh-CN"/>
        </w:rPr>
      </w:pPr>
      <w:r>
        <w:rPr>
          <w:rFonts w:hint="eastAsia" w:ascii="仿宋_GB2312" w:hAnsi="仿宋_GB2312" w:eastAsia="仿宋_GB2312" w:cs="仿宋_GB2312"/>
          <w:snapToGrid w:val="0"/>
          <w:w w:val="95"/>
          <w:sz w:val="32"/>
          <w:szCs w:val="32"/>
          <w:lang w:val="en-US" w:eastAsia="zh-CN"/>
        </w:rPr>
        <w:t>8.</w:t>
      </w:r>
      <w:r>
        <w:rPr>
          <w:rFonts w:hint="eastAsia" w:ascii="仿宋_GB2312" w:hAnsi="仿宋_GB2312" w:eastAsia="仿宋_GB2312" w:cs="仿宋_GB2312"/>
          <w:snapToGrid w:val="0"/>
          <w:w w:val="95"/>
          <w:sz w:val="32"/>
          <w:szCs w:val="32"/>
          <w:lang w:val="zh-CN"/>
        </w:rPr>
        <w:t>文化旅游体育与传媒支出（类）体育（款）其他体育支出（项）2023年预算数为100.00万元。比2022年执行数增加</w:t>
      </w:r>
      <w:r>
        <w:rPr>
          <w:rFonts w:hint="eastAsia" w:ascii="仿宋_GB2312" w:hAnsi="仿宋_GB2312" w:eastAsia="仿宋_GB2312" w:cs="仿宋_GB2312"/>
          <w:snapToGrid w:val="0"/>
          <w:w w:val="95"/>
          <w:sz w:val="32"/>
          <w:szCs w:val="32"/>
          <w:lang w:val="en-US" w:eastAsia="zh-CN"/>
        </w:rPr>
        <w:t>100</w:t>
      </w:r>
      <w:r>
        <w:rPr>
          <w:rFonts w:hint="eastAsia" w:ascii="仿宋_GB2312" w:hAnsi="仿宋_GB2312" w:eastAsia="仿宋_GB2312" w:cs="仿宋_GB2312"/>
          <w:snapToGrid w:val="0"/>
          <w:w w:val="95"/>
          <w:sz w:val="32"/>
          <w:szCs w:val="32"/>
          <w:lang w:val="zh-CN"/>
        </w:rPr>
        <w:t>万元，增长</w:t>
      </w:r>
      <w:r>
        <w:rPr>
          <w:rFonts w:hint="eastAsia" w:ascii="仿宋_GB2312" w:hAnsi="仿宋_GB2312" w:eastAsia="仿宋_GB2312" w:cs="仿宋_GB2312"/>
          <w:snapToGrid w:val="0"/>
          <w:w w:val="95"/>
          <w:sz w:val="32"/>
          <w:szCs w:val="32"/>
          <w:lang w:val="en-US" w:eastAsia="zh-CN"/>
        </w:rPr>
        <w:t>100</w:t>
      </w:r>
      <w:r>
        <w:rPr>
          <w:rFonts w:hint="eastAsia" w:ascii="仿宋_GB2312" w:hAnsi="仿宋_GB2312" w:eastAsia="仿宋_GB2312" w:cs="仿宋_GB2312"/>
          <w:snapToGrid w:val="0"/>
          <w:w w:val="95"/>
          <w:sz w:val="32"/>
          <w:szCs w:val="32"/>
          <w:lang w:val="zh-CN"/>
        </w:rPr>
        <w:t>%。</w:t>
      </w:r>
    </w:p>
    <w:p>
      <w:pPr>
        <w:keepNext w:val="0"/>
        <w:keepLines w:val="0"/>
        <w:pageBreakBefore w:val="0"/>
        <w:widowControl w:val="0"/>
        <w:kinsoku/>
        <w:wordWrap/>
        <w:overflowPunct/>
        <w:topLinePunct w:val="0"/>
        <w:bidi w:val="0"/>
        <w:spacing w:line="570" w:lineRule="exact"/>
        <w:ind w:left="0" w:leftChars="0" w:right="0" w:rightChars="0" w:firstLine="608" w:firstLineChars="200"/>
        <w:textAlignment w:val="auto"/>
        <w:rPr>
          <w:rFonts w:hint="eastAsia" w:ascii="仿宋_GB2312" w:hAnsi="仿宋_GB2312" w:eastAsia="仿宋_GB2312" w:cs="仿宋_GB2312"/>
          <w:snapToGrid w:val="0"/>
          <w:w w:val="95"/>
          <w:sz w:val="32"/>
          <w:szCs w:val="32"/>
          <w:lang w:val="zh-CN"/>
        </w:rPr>
      </w:pPr>
      <w:r>
        <w:rPr>
          <w:rFonts w:hint="eastAsia" w:ascii="仿宋_GB2312" w:hAnsi="仿宋_GB2312" w:eastAsia="仿宋_GB2312" w:cs="仿宋_GB2312"/>
          <w:snapToGrid w:val="0"/>
          <w:w w:val="95"/>
          <w:sz w:val="32"/>
          <w:szCs w:val="32"/>
          <w:lang w:val="en-US" w:eastAsia="zh-CN"/>
        </w:rPr>
        <w:t>9</w:t>
      </w:r>
      <w:r>
        <w:rPr>
          <w:rFonts w:hint="eastAsia" w:ascii="仿宋_GB2312" w:hAnsi="仿宋_GB2312" w:eastAsia="仿宋_GB2312" w:cs="仿宋_GB2312"/>
          <w:snapToGrid w:val="0"/>
          <w:w w:val="95"/>
          <w:sz w:val="32"/>
          <w:szCs w:val="32"/>
          <w:lang w:val="zh-CN"/>
        </w:rPr>
        <w:t>.社会保障和就业支出（类）行政事业单位养老支出（款）机关事业单位基本养老保险缴费支出（项）2023年预算数为23.24万元，比2022年执行数增加</w:t>
      </w:r>
      <w:r>
        <w:rPr>
          <w:rFonts w:hint="eastAsia" w:ascii="仿宋_GB2312" w:hAnsi="仿宋_GB2312" w:eastAsia="仿宋_GB2312" w:cs="仿宋_GB2312"/>
          <w:snapToGrid w:val="0"/>
          <w:w w:val="95"/>
          <w:sz w:val="32"/>
          <w:szCs w:val="32"/>
          <w:lang w:val="en-US" w:eastAsia="zh-CN"/>
        </w:rPr>
        <w:t>6.17</w:t>
      </w:r>
      <w:r>
        <w:rPr>
          <w:rFonts w:hint="eastAsia" w:ascii="仿宋_GB2312" w:hAnsi="仿宋_GB2312" w:eastAsia="仿宋_GB2312" w:cs="仿宋_GB2312"/>
          <w:snapToGrid w:val="0"/>
          <w:w w:val="95"/>
          <w:sz w:val="32"/>
          <w:szCs w:val="32"/>
          <w:lang w:val="zh-CN"/>
        </w:rPr>
        <w:t>万元，增长</w:t>
      </w:r>
      <w:r>
        <w:rPr>
          <w:rFonts w:hint="eastAsia" w:ascii="仿宋_GB2312" w:hAnsi="仿宋_GB2312" w:eastAsia="仿宋_GB2312" w:cs="仿宋_GB2312"/>
          <w:snapToGrid w:val="0"/>
          <w:w w:val="95"/>
          <w:sz w:val="32"/>
          <w:szCs w:val="32"/>
          <w:lang w:val="en-US" w:eastAsia="zh-CN"/>
        </w:rPr>
        <w:t>27</w:t>
      </w:r>
      <w:r>
        <w:rPr>
          <w:rFonts w:hint="eastAsia" w:ascii="仿宋_GB2312" w:hAnsi="仿宋_GB2312" w:eastAsia="仿宋_GB2312" w:cs="仿宋_GB2312"/>
          <w:snapToGrid w:val="0"/>
          <w:w w:val="95"/>
          <w:sz w:val="32"/>
          <w:szCs w:val="32"/>
          <w:lang w:val="zh-CN"/>
        </w:rPr>
        <w:t>%。主要是实施养老保险制度按规定由单位缴纳的基本养老保险支出。原因是社保基数调整。</w:t>
      </w:r>
    </w:p>
    <w:p>
      <w:pPr>
        <w:keepNext w:val="0"/>
        <w:keepLines w:val="0"/>
        <w:pageBreakBefore w:val="0"/>
        <w:widowControl w:val="0"/>
        <w:kinsoku/>
        <w:wordWrap/>
        <w:overflowPunct/>
        <w:topLinePunct w:val="0"/>
        <w:bidi w:val="0"/>
        <w:spacing w:line="570" w:lineRule="exact"/>
        <w:ind w:left="0" w:leftChars="0" w:right="0" w:rightChars="0" w:firstLine="608" w:firstLineChars="200"/>
        <w:textAlignment w:val="auto"/>
        <w:rPr>
          <w:rFonts w:hint="eastAsia" w:ascii="仿宋_GB2312" w:hAnsi="仿宋_GB2312" w:eastAsia="仿宋_GB2312" w:cs="仿宋_GB2312"/>
          <w:snapToGrid w:val="0"/>
          <w:w w:val="95"/>
          <w:sz w:val="32"/>
          <w:szCs w:val="32"/>
          <w:lang w:val="zh-CN"/>
        </w:rPr>
      </w:pPr>
      <w:r>
        <w:rPr>
          <w:rFonts w:hint="eastAsia" w:ascii="仿宋_GB2312" w:hAnsi="仿宋_GB2312" w:eastAsia="仿宋_GB2312" w:cs="仿宋_GB2312"/>
          <w:snapToGrid w:val="0"/>
          <w:w w:val="95"/>
          <w:sz w:val="32"/>
          <w:szCs w:val="32"/>
          <w:lang w:val="en-US" w:eastAsia="zh-CN"/>
        </w:rPr>
        <w:t>10</w:t>
      </w:r>
      <w:r>
        <w:rPr>
          <w:rFonts w:hint="eastAsia" w:ascii="仿宋_GB2312" w:hAnsi="仿宋_GB2312" w:eastAsia="仿宋_GB2312" w:cs="仿宋_GB2312"/>
          <w:snapToGrid w:val="0"/>
          <w:w w:val="95"/>
          <w:sz w:val="32"/>
          <w:szCs w:val="32"/>
          <w:lang w:val="zh-CN"/>
        </w:rPr>
        <w:t>.社会保障和就业支出（类）财政对其他社会保险基金的补助（款）财政对工伤保险基金的补助（项）2023年预算数为0.19万元，比2022年执行数减少</w:t>
      </w:r>
      <w:r>
        <w:rPr>
          <w:rFonts w:hint="eastAsia" w:ascii="仿宋_GB2312" w:hAnsi="仿宋_GB2312" w:eastAsia="仿宋_GB2312" w:cs="仿宋_GB2312"/>
          <w:snapToGrid w:val="0"/>
          <w:w w:val="95"/>
          <w:sz w:val="32"/>
          <w:szCs w:val="32"/>
          <w:lang w:val="en-US" w:eastAsia="zh-CN"/>
        </w:rPr>
        <w:t>0.02</w:t>
      </w:r>
      <w:r>
        <w:rPr>
          <w:rFonts w:hint="eastAsia" w:ascii="仿宋_GB2312" w:hAnsi="仿宋_GB2312" w:eastAsia="仿宋_GB2312" w:cs="仿宋_GB2312"/>
          <w:snapToGrid w:val="0"/>
          <w:w w:val="95"/>
          <w:sz w:val="32"/>
          <w:szCs w:val="32"/>
          <w:lang w:val="zh-CN"/>
        </w:rPr>
        <w:t>万元，下降</w:t>
      </w:r>
      <w:r>
        <w:rPr>
          <w:rFonts w:hint="eastAsia" w:ascii="仿宋_GB2312" w:hAnsi="仿宋_GB2312" w:eastAsia="仿宋_GB2312" w:cs="仿宋_GB2312"/>
          <w:snapToGrid w:val="0"/>
          <w:w w:val="95"/>
          <w:sz w:val="32"/>
          <w:szCs w:val="32"/>
          <w:lang w:val="en-US" w:eastAsia="zh-CN"/>
        </w:rPr>
        <w:t>11</w:t>
      </w:r>
      <w:r>
        <w:rPr>
          <w:rFonts w:hint="eastAsia" w:ascii="仿宋_GB2312" w:hAnsi="仿宋_GB2312" w:eastAsia="仿宋_GB2312" w:cs="仿宋_GB2312"/>
          <w:snapToGrid w:val="0"/>
          <w:w w:val="95"/>
          <w:sz w:val="32"/>
          <w:szCs w:val="32"/>
          <w:lang w:val="zh-CN"/>
        </w:rPr>
        <w:t>%。主要是按规定由单位缴纳的工伤保险支出。原因是社保基数调整。</w:t>
      </w:r>
    </w:p>
    <w:p>
      <w:pPr>
        <w:keepNext w:val="0"/>
        <w:keepLines w:val="0"/>
        <w:pageBreakBefore w:val="0"/>
        <w:widowControl w:val="0"/>
        <w:kinsoku/>
        <w:wordWrap/>
        <w:overflowPunct/>
        <w:topLinePunct w:val="0"/>
        <w:bidi w:val="0"/>
        <w:spacing w:line="570" w:lineRule="exact"/>
        <w:ind w:left="0" w:leftChars="0" w:right="0" w:rightChars="0" w:firstLine="608" w:firstLineChars="200"/>
        <w:textAlignment w:val="auto"/>
        <w:rPr>
          <w:rFonts w:hint="default" w:ascii="仿宋_GB2312" w:hAnsi="仿宋_GB2312" w:eastAsia="仿宋_GB2312" w:cs="仿宋_GB2312"/>
          <w:snapToGrid w:val="0"/>
          <w:w w:val="95"/>
          <w:sz w:val="32"/>
          <w:szCs w:val="32"/>
          <w:lang w:val="en-US" w:eastAsia="zh-CN"/>
        </w:rPr>
      </w:pPr>
      <w:r>
        <w:rPr>
          <w:rFonts w:hint="eastAsia" w:ascii="仿宋_GB2312" w:hAnsi="仿宋_GB2312" w:eastAsia="仿宋_GB2312" w:cs="仿宋_GB2312"/>
          <w:snapToGrid w:val="0"/>
          <w:w w:val="95"/>
          <w:sz w:val="32"/>
          <w:szCs w:val="32"/>
          <w:lang w:val="en-US" w:eastAsia="zh-CN"/>
        </w:rPr>
        <w:t>11.</w:t>
      </w:r>
      <w:r>
        <w:rPr>
          <w:rFonts w:hint="eastAsia" w:ascii="仿宋_GB2312" w:hAnsi="仿宋_GB2312" w:eastAsia="仿宋_GB2312" w:cs="仿宋_GB2312"/>
          <w:snapToGrid w:val="0"/>
          <w:w w:val="95"/>
          <w:sz w:val="32"/>
          <w:szCs w:val="32"/>
          <w:lang w:val="zh-CN"/>
        </w:rPr>
        <w:t>社会保障和就业支出（类）财政对其他社会保险基金的补助（款）财政对失业保险基金的补助（项）2023年预算数为0.16万元，比2022年执行数增加</w:t>
      </w:r>
      <w:r>
        <w:rPr>
          <w:rFonts w:hint="eastAsia" w:ascii="仿宋_GB2312" w:hAnsi="仿宋_GB2312" w:eastAsia="仿宋_GB2312" w:cs="仿宋_GB2312"/>
          <w:snapToGrid w:val="0"/>
          <w:w w:val="95"/>
          <w:sz w:val="32"/>
          <w:szCs w:val="32"/>
          <w:lang w:val="en-US" w:eastAsia="zh-CN"/>
        </w:rPr>
        <w:t>0.1</w:t>
      </w:r>
      <w:r>
        <w:rPr>
          <w:rFonts w:hint="eastAsia" w:ascii="仿宋_GB2312" w:hAnsi="仿宋_GB2312" w:eastAsia="仿宋_GB2312" w:cs="仿宋_GB2312"/>
          <w:snapToGrid w:val="0"/>
          <w:w w:val="95"/>
          <w:sz w:val="32"/>
          <w:szCs w:val="32"/>
          <w:lang w:val="zh-CN"/>
        </w:rPr>
        <w:t>万元，增加</w:t>
      </w:r>
      <w:r>
        <w:rPr>
          <w:rFonts w:hint="eastAsia" w:ascii="仿宋_GB2312" w:hAnsi="仿宋_GB2312" w:eastAsia="仿宋_GB2312" w:cs="仿宋_GB2312"/>
          <w:snapToGrid w:val="0"/>
          <w:w w:val="95"/>
          <w:sz w:val="32"/>
          <w:szCs w:val="32"/>
          <w:lang w:val="en-US" w:eastAsia="zh-CN"/>
        </w:rPr>
        <w:t>63</w:t>
      </w:r>
      <w:r>
        <w:rPr>
          <w:rFonts w:hint="eastAsia" w:ascii="仿宋_GB2312" w:hAnsi="仿宋_GB2312" w:eastAsia="仿宋_GB2312" w:cs="仿宋_GB2312"/>
          <w:snapToGrid w:val="0"/>
          <w:w w:val="95"/>
          <w:sz w:val="32"/>
          <w:szCs w:val="32"/>
          <w:lang w:val="zh-CN"/>
        </w:rPr>
        <w:t>%。主要是按规定由单位缴纳的工伤保险支出。原因是社保基数调整。</w:t>
      </w:r>
    </w:p>
    <w:p>
      <w:pPr>
        <w:keepNext w:val="0"/>
        <w:keepLines w:val="0"/>
        <w:pageBreakBefore w:val="0"/>
        <w:widowControl w:val="0"/>
        <w:kinsoku/>
        <w:wordWrap/>
        <w:overflowPunct/>
        <w:topLinePunct w:val="0"/>
        <w:bidi w:val="0"/>
        <w:spacing w:line="570" w:lineRule="exact"/>
        <w:ind w:left="0" w:leftChars="0" w:right="0" w:rightChars="0" w:firstLine="608" w:firstLineChars="200"/>
        <w:textAlignment w:val="auto"/>
        <w:rPr>
          <w:rFonts w:hint="eastAsia" w:ascii="仿宋_GB2312" w:hAnsi="仿宋_GB2312" w:eastAsia="仿宋_GB2312" w:cs="仿宋_GB2312"/>
          <w:snapToGrid w:val="0"/>
          <w:w w:val="95"/>
          <w:sz w:val="32"/>
          <w:szCs w:val="32"/>
          <w:lang w:val="zh-CN"/>
        </w:rPr>
      </w:pPr>
      <w:r>
        <w:rPr>
          <w:rFonts w:hint="eastAsia" w:ascii="仿宋_GB2312" w:hAnsi="仿宋_GB2312" w:eastAsia="仿宋_GB2312" w:cs="仿宋_GB2312"/>
          <w:snapToGrid w:val="0"/>
          <w:w w:val="95"/>
          <w:sz w:val="32"/>
          <w:szCs w:val="32"/>
          <w:lang w:val="en-US" w:eastAsia="zh-CN"/>
        </w:rPr>
        <w:t>12</w:t>
      </w:r>
      <w:r>
        <w:rPr>
          <w:rFonts w:hint="eastAsia" w:ascii="仿宋_GB2312" w:hAnsi="仿宋_GB2312" w:eastAsia="仿宋_GB2312" w:cs="仿宋_GB2312"/>
          <w:snapToGrid w:val="0"/>
          <w:w w:val="95"/>
          <w:sz w:val="32"/>
          <w:szCs w:val="32"/>
          <w:lang w:val="zh-CN"/>
        </w:rPr>
        <w:t>.卫生健康支出（类）行政事业单位医疗（款）公务员医疗补助（项）2023年预算数为2.92万元，比2022年执行数减少</w:t>
      </w:r>
      <w:r>
        <w:rPr>
          <w:rFonts w:hint="eastAsia" w:ascii="仿宋_GB2312" w:hAnsi="仿宋_GB2312" w:eastAsia="仿宋_GB2312" w:cs="仿宋_GB2312"/>
          <w:snapToGrid w:val="0"/>
          <w:w w:val="95"/>
          <w:sz w:val="32"/>
          <w:szCs w:val="32"/>
          <w:lang w:val="en-US" w:eastAsia="zh-CN"/>
        </w:rPr>
        <w:t>0.28</w:t>
      </w:r>
      <w:r>
        <w:rPr>
          <w:rFonts w:hint="eastAsia" w:ascii="仿宋_GB2312" w:hAnsi="仿宋_GB2312" w:eastAsia="仿宋_GB2312" w:cs="仿宋_GB2312"/>
          <w:snapToGrid w:val="0"/>
          <w:w w:val="95"/>
          <w:sz w:val="32"/>
          <w:szCs w:val="32"/>
          <w:lang w:val="zh-CN"/>
        </w:rPr>
        <w:t>万元，下降</w:t>
      </w:r>
      <w:r>
        <w:rPr>
          <w:rFonts w:hint="eastAsia" w:ascii="仿宋_GB2312" w:hAnsi="仿宋_GB2312" w:eastAsia="仿宋_GB2312" w:cs="仿宋_GB2312"/>
          <w:snapToGrid w:val="0"/>
          <w:w w:val="95"/>
          <w:sz w:val="32"/>
          <w:szCs w:val="32"/>
          <w:lang w:val="en-US" w:eastAsia="zh-CN"/>
        </w:rPr>
        <w:t>10</w:t>
      </w:r>
      <w:r>
        <w:rPr>
          <w:rFonts w:hint="eastAsia" w:ascii="仿宋_GB2312" w:hAnsi="仿宋_GB2312" w:eastAsia="仿宋_GB2312" w:cs="仿宋_GB2312"/>
          <w:snapToGrid w:val="0"/>
          <w:w w:val="95"/>
          <w:sz w:val="32"/>
          <w:szCs w:val="32"/>
          <w:lang w:val="zh-CN"/>
        </w:rPr>
        <w:t>%。主要是按规定由单位缴纳的基本医疗保险缴费支出。原因是社保基数调整。</w:t>
      </w:r>
    </w:p>
    <w:p>
      <w:pPr>
        <w:keepNext w:val="0"/>
        <w:keepLines w:val="0"/>
        <w:pageBreakBefore w:val="0"/>
        <w:widowControl w:val="0"/>
        <w:kinsoku/>
        <w:wordWrap/>
        <w:overflowPunct/>
        <w:topLinePunct w:val="0"/>
        <w:bidi w:val="0"/>
        <w:spacing w:line="570" w:lineRule="exact"/>
        <w:ind w:left="0" w:leftChars="0" w:right="0" w:rightChars="0" w:firstLine="608" w:firstLineChars="200"/>
        <w:textAlignment w:val="auto"/>
        <w:rPr>
          <w:rFonts w:hint="eastAsia" w:ascii="仿宋_GB2312" w:hAnsi="仿宋_GB2312" w:eastAsia="仿宋_GB2312" w:cs="仿宋_GB2312"/>
          <w:snapToGrid w:val="0"/>
          <w:w w:val="95"/>
          <w:sz w:val="32"/>
          <w:szCs w:val="32"/>
          <w:lang w:val="zh-CN"/>
        </w:rPr>
      </w:pPr>
      <w:r>
        <w:rPr>
          <w:rFonts w:hint="eastAsia" w:ascii="仿宋_GB2312" w:hAnsi="仿宋_GB2312" w:eastAsia="仿宋_GB2312" w:cs="仿宋_GB2312"/>
          <w:snapToGrid w:val="0"/>
          <w:w w:val="95"/>
          <w:sz w:val="32"/>
          <w:szCs w:val="32"/>
          <w:lang w:val="en-US" w:eastAsia="zh-CN"/>
        </w:rPr>
        <w:t>13</w:t>
      </w:r>
      <w:r>
        <w:rPr>
          <w:rFonts w:hint="eastAsia" w:ascii="仿宋_GB2312" w:hAnsi="仿宋_GB2312" w:eastAsia="仿宋_GB2312" w:cs="仿宋_GB2312"/>
          <w:snapToGrid w:val="0"/>
          <w:w w:val="95"/>
          <w:sz w:val="32"/>
          <w:szCs w:val="32"/>
          <w:lang w:val="zh-CN"/>
        </w:rPr>
        <w:t>.卫生健康支出（类）财政对基本医疗保险基金的补助（款）财政对职工基本医疗保险基金的补助（项）2023年预算数为11.19万元，比2022年执行数增加</w:t>
      </w:r>
      <w:r>
        <w:rPr>
          <w:rFonts w:hint="eastAsia" w:ascii="仿宋_GB2312" w:hAnsi="仿宋_GB2312" w:eastAsia="仿宋_GB2312" w:cs="仿宋_GB2312"/>
          <w:snapToGrid w:val="0"/>
          <w:w w:val="95"/>
          <w:sz w:val="32"/>
          <w:szCs w:val="32"/>
          <w:lang w:val="en-US" w:eastAsia="zh-CN"/>
        </w:rPr>
        <w:t>1.91</w:t>
      </w:r>
      <w:r>
        <w:rPr>
          <w:rFonts w:hint="eastAsia" w:ascii="仿宋_GB2312" w:hAnsi="仿宋_GB2312" w:eastAsia="仿宋_GB2312" w:cs="仿宋_GB2312"/>
          <w:snapToGrid w:val="0"/>
          <w:w w:val="95"/>
          <w:sz w:val="32"/>
          <w:szCs w:val="32"/>
          <w:lang w:val="zh-CN"/>
        </w:rPr>
        <w:t>万元，增长</w:t>
      </w:r>
      <w:r>
        <w:rPr>
          <w:rFonts w:hint="eastAsia" w:ascii="仿宋_GB2312" w:hAnsi="仿宋_GB2312" w:eastAsia="仿宋_GB2312" w:cs="仿宋_GB2312"/>
          <w:snapToGrid w:val="0"/>
          <w:w w:val="95"/>
          <w:sz w:val="32"/>
          <w:szCs w:val="32"/>
          <w:lang w:val="en-US" w:eastAsia="zh-CN"/>
        </w:rPr>
        <w:t>17</w:t>
      </w:r>
      <w:r>
        <w:rPr>
          <w:rFonts w:hint="eastAsia" w:ascii="仿宋_GB2312" w:hAnsi="仿宋_GB2312" w:eastAsia="仿宋_GB2312" w:cs="仿宋_GB2312"/>
          <w:snapToGrid w:val="0"/>
          <w:w w:val="95"/>
          <w:sz w:val="32"/>
          <w:szCs w:val="32"/>
          <w:lang w:val="zh-CN"/>
        </w:rPr>
        <w:t>%。要是按规定由单位缴纳的基本医疗保险缴费支出。原因是是社保基数调整。</w:t>
      </w:r>
    </w:p>
    <w:p>
      <w:pPr>
        <w:keepNext w:val="0"/>
        <w:keepLines w:val="0"/>
        <w:pageBreakBefore w:val="0"/>
        <w:widowControl w:val="0"/>
        <w:kinsoku/>
        <w:wordWrap/>
        <w:overflowPunct/>
        <w:topLinePunct w:val="0"/>
        <w:bidi w:val="0"/>
        <w:spacing w:line="570" w:lineRule="exact"/>
        <w:ind w:left="0" w:leftChars="0" w:right="0" w:rightChars="0" w:firstLine="608" w:firstLineChars="200"/>
        <w:textAlignment w:val="auto"/>
        <w:rPr>
          <w:rFonts w:hint="eastAsia" w:ascii="仿宋_GB2312" w:hAnsi="仿宋_GB2312" w:eastAsia="仿宋_GB2312" w:cs="仿宋_GB2312"/>
          <w:snapToGrid w:val="0"/>
          <w:w w:val="95"/>
          <w:sz w:val="32"/>
          <w:szCs w:val="32"/>
          <w:lang w:val="zh-CN"/>
        </w:rPr>
      </w:pPr>
      <w:r>
        <w:rPr>
          <w:rFonts w:hint="eastAsia" w:ascii="仿宋_GB2312" w:hAnsi="仿宋_GB2312" w:eastAsia="仿宋_GB2312" w:cs="仿宋_GB2312"/>
          <w:snapToGrid w:val="0"/>
          <w:w w:val="95"/>
          <w:sz w:val="32"/>
          <w:szCs w:val="32"/>
          <w:lang w:val="en-US" w:eastAsia="zh-CN"/>
        </w:rPr>
        <w:t>14</w:t>
      </w:r>
      <w:r>
        <w:rPr>
          <w:rFonts w:hint="eastAsia" w:ascii="仿宋_GB2312" w:hAnsi="仿宋_GB2312" w:eastAsia="仿宋_GB2312" w:cs="仿宋_GB2312"/>
          <w:snapToGrid w:val="0"/>
          <w:w w:val="95"/>
          <w:sz w:val="32"/>
          <w:szCs w:val="32"/>
          <w:lang w:val="zh-CN"/>
        </w:rPr>
        <w:t>.住房保障支出（类）住房改革支出（款）住房公积金（项）2023年预算数为17.44万元，比2022年执行数增加</w:t>
      </w:r>
      <w:r>
        <w:rPr>
          <w:rFonts w:hint="eastAsia" w:ascii="仿宋_GB2312" w:hAnsi="仿宋_GB2312" w:eastAsia="仿宋_GB2312" w:cs="仿宋_GB2312"/>
          <w:snapToGrid w:val="0"/>
          <w:w w:val="95"/>
          <w:sz w:val="32"/>
          <w:szCs w:val="32"/>
          <w:lang w:val="en-US" w:eastAsia="zh-CN"/>
        </w:rPr>
        <w:t>3.63</w:t>
      </w:r>
      <w:r>
        <w:rPr>
          <w:rFonts w:hint="eastAsia" w:ascii="仿宋_GB2312" w:hAnsi="仿宋_GB2312" w:eastAsia="仿宋_GB2312" w:cs="仿宋_GB2312"/>
          <w:snapToGrid w:val="0"/>
          <w:w w:val="95"/>
          <w:sz w:val="32"/>
          <w:szCs w:val="32"/>
          <w:lang w:val="zh-CN"/>
        </w:rPr>
        <w:t>万元，增长</w:t>
      </w:r>
      <w:r>
        <w:rPr>
          <w:rFonts w:hint="eastAsia" w:ascii="仿宋_GB2312" w:hAnsi="仿宋_GB2312" w:eastAsia="仿宋_GB2312" w:cs="仿宋_GB2312"/>
          <w:snapToGrid w:val="0"/>
          <w:w w:val="95"/>
          <w:sz w:val="32"/>
          <w:szCs w:val="32"/>
          <w:lang w:val="en-US" w:eastAsia="zh-CN"/>
        </w:rPr>
        <w:t>21</w:t>
      </w:r>
      <w:r>
        <w:rPr>
          <w:rFonts w:hint="eastAsia" w:ascii="仿宋_GB2312" w:hAnsi="仿宋_GB2312" w:eastAsia="仿宋_GB2312" w:cs="仿宋_GB2312"/>
          <w:snapToGrid w:val="0"/>
          <w:w w:val="95"/>
          <w:sz w:val="32"/>
          <w:szCs w:val="32"/>
          <w:lang w:val="zh-CN"/>
        </w:rPr>
        <w:t>%。主要是部门按人力资源和社会保障部、财政部规定的基本工资和津贴补贴、以及规定比例为职工缴纳的住房公积金支出。原因是社保基数调整。</w:t>
      </w:r>
    </w:p>
    <w:p>
      <w:pPr>
        <w:keepNext w:val="0"/>
        <w:keepLines w:val="0"/>
        <w:pageBreakBefore w:val="0"/>
        <w:widowControl w:val="0"/>
        <w:kinsoku/>
        <w:wordWrap/>
        <w:overflowPunct/>
        <w:topLinePunct w:val="0"/>
        <w:bidi w:val="0"/>
        <w:spacing w:line="570" w:lineRule="exact"/>
        <w:ind w:left="0" w:leftChars="0" w:right="0" w:rightChars="0" w:firstLine="640" w:firstLineChars="200"/>
        <w:textAlignment w:val="auto"/>
        <w:rPr>
          <w:rFonts w:ascii="黑体" w:hAnsi="黑体" w:eastAsia="黑体"/>
          <w:sz w:val="32"/>
          <w:szCs w:val="32"/>
          <w:highlight w:val="none"/>
        </w:rPr>
      </w:pPr>
      <w:r>
        <w:rPr>
          <w:rFonts w:hint="eastAsia" w:ascii="黑体" w:hAnsi="黑体" w:eastAsia="黑体"/>
          <w:sz w:val="32"/>
          <w:szCs w:val="32"/>
          <w:highlight w:val="none"/>
        </w:rPr>
        <w:t>六、202</w:t>
      </w:r>
      <w:r>
        <w:rPr>
          <w:rFonts w:hint="eastAsia" w:ascii="黑体" w:hAnsi="黑体" w:eastAsia="黑体"/>
          <w:sz w:val="32"/>
          <w:szCs w:val="32"/>
          <w:highlight w:val="none"/>
          <w:lang w:val="en-US" w:eastAsia="zh-CN"/>
        </w:rPr>
        <w:t>3</w:t>
      </w:r>
      <w:r>
        <w:rPr>
          <w:rFonts w:hint="eastAsia" w:ascii="黑体" w:hAnsi="黑体" w:eastAsia="黑体"/>
          <w:sz w:val="32"/>
          <w:szCs w:val="32"/>
          <w:highlight w:val="none"/>
        </w:rPr>
        <w:t>年一般公共预算基本支出表的说明</w:t>
      </w:r>
    </w:p>
    <w:p>
      <w:pPr>
        <w:keepNext w:val="0"/>
        <w:keepLines w:val="0"/>
        <w:pageBreakBefore w:val="0"/>
        <w:widowControl w:val="0"/>
        <w:kinsoku/>
        <w:wordWrap/>
        <w:overflowPunct/>
        <w:topLinePunct w:val="0"/>
        <w:bidi w:val="0"/>
        <w:spacing w:line="57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年一般公共预算基本支出</w:t>
      </w:r>
      <w:r>
        <w:rPr>
          <w:rFonts w:hint="eastAsia" w:ascii="仿宋_GB2312" w:hAnsi="仿宋_GB2312" w:eastAsia="仿宋_GB2312" w:cs="仿宋_GB2312"/>
          <w:sz w:val="32"/>
          <w:szCs w:val="32"/>
          <w:lang w:val="en-US" w:eastAsia="zh-CN"/>
        </w:rPr>
        <w:t>251.33</w:t>
      </w:r>
      <w:r>
        <w:rPr>
          <w:rFonts w:hint="eastAsia" w:ascii="仿宋_GB2312" w:hAnsi="仿宋_GB2312" w:eastAsia="仿宋_GB2312" w:cs="仿宋_GB2312"/>
          <w:sz w:val="32"/>
          <w:szCs w:val="32"/>
        </w:rPr>
        <w:t>万元，其中：</w:t>
      </w:r>
    </w:p>
    <w:p>
      <w:pPr>
        <w:keepNext w:val="0"/>
        <w:keepLines w:val="0"/>
        <w:pageBreakBefore w:val="0"/>
        <w:widowControl w:val="0"/>
        <w:kinsoku/>
        <w:wordWrap/>
        <w:overflowPunct/>
        <w:topLinePunct w:val="0"/>
        <w:bidi w:val="0"/>
        <w:spacing w:line="57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人员经费</w:t>
      </w:r>
      <w:r>
        <w:rPr>
          <w:rFonts w:hint="eastAsia" w:ascii="仿宋_GB2312" w:hAnsi="仿宋_GB2312" w:eastAsia="仿宋_GB2312" w:cs="仿宋_GB2312"/>
          <w:sz w:val="32"/>
          <w:szCs w:val="32"/>
          <w:lang w:val="en-US" w:eastAsia="zh-CN"/>
        </w:rPr>
        <w:t>220.13</w:t>
      </w:r>
      <w:r>
        <w:rPr>
          <w:rFonts w:hint="eastAsia" w:ascii="仿宋_GB2312" w:hAnsi="仿宋_GB2312" w:eastAsia="仿宋_GB2312" w:cs="仿宋_GB2312"/>
          <w:sz w:val="32"/>
          <w:szCs w:val="32"/>
        </w:rPr>
        <w:t>万元，主要包括：工资性支出（基本工资、津贴补贴、奖金）</w:t>
      </w:r>
      <w:r>
        <w:rPr>
          <w:rFonts w:hint="eastAsia" w:ascii="仿宋_GB2312" w:hAnsi="仿宋_GB2312" w:eastAsia="仿宋_GB2312" w:cs="仿宋_GB2312"/>
          <w:sz w:val="32"/>
          <w:szCs w:val="32"/>
          <w:lang w:val="en-US" w:eastAsia="zh-CN"/>
        </w:rPr>
        <w:t>156.18</w:t>
      </w:r>
      <w:r>
        <w:rPr>
          <w:rFonts w:hint="eastAsia" w:ascii="仿宋_GB2312" w:hAnsi="仿宋_GB2312" w:eastAsia="仿宋_GB2312" w:cs="仿宋_GB2312"/>
          <w:sz w:val="32"/>
          <w:szCs w:val="32"/>
        </w:rPr>
        <w:t>万元、机关事业单位养老保险缴费</w:t>
      </w:r>
      <w:r>
        <w:rPr>
          <w:rFonts w:hint="eastAsia" w:ascii="仿宋_GB2312" w:hAnsi="仿宋_GB2312" w:eastAsia="仿宋_GB2312" w:cs="仿宋_GB2312"/>
          <w:sz w:val="32"/>
          <w:szCs w:val="32"/>
          <w:lang w:val="en-US" w:eastAsia="zh-CN"/>
        </w:rPr>
        <w:t>23.24</w:t>
      </w:r>
      <w:r>
        <w:rPr>
          <w:rFonts w:hint="eastAsia" w:ascii="仿宋_GB2312" w:hAnsi="仿宋_GB2312" w:eastAsia="仿宋_GB2312" w:cs="仿宋_GB2312"/>
          <w:sz w:val="32"/>
          <w:szCs w:val="32"/>
        </w:rPr>
        <w:t>万元、城镇职工基本医疗保险缴费</w:t>
      </w:r>
      <w:r>
        <w:rPr>
          <w:rFonts w:hint="eastAsia" w:ascii="仿宋_GB2312" w:hAnsi="仿宋_GB2312" w:eastAsia="仿宋_GB2312" w:cs="仿宋_GB2312"/>
          <w:sz w:val="32"/>
          <w:szCs w:val="32"/>
          <w:lang w:val="en-US" w:eastAsia="zh-CN"/>
        </w:rPr>
        <w:t>11.19</w:t>
      </w:r>
      <w:r>
        <w:rPr>
          <w:rFonts w:hint="eastAsia" w:ascii="仿宋_GB2312" w:hAnsi="仿宋_GB2312" w:eastAsia="仿宋_GB2312" w:cs="仿宋_GB2312"/>
          <w:sz w:val="32"/>
          <w:szCs w:val="32"/>
        </w:rPr>
        <w:t>万元、公务员医疗补助缴费2.92</w:t>
      </w:r>
      <w:r>
        <w:rPr>
          <w:rFonts w:hint="eastAsia" w:ascii="仿宋_GB2312" w:hAnsi="仿宋_GB2312" w:eastAsia="仿宋_GB2312" w:cs="仿宋_GB2312"/>
          <w:sz w:val="32"/>
          <w:szCs w:val="32"/>
          <w:lang w:eastAsia="zh-CN"/>
        </w:rPr>
        <w:t>万元、</w:t>
      </w:r>
      <w:r>
        <w:rPr>
          <w:rFonts w:hint="eastAsia" w:ascii="仿宋_GB2312" w:hAnsi="仿宋_GB2312" w:eastAsia="仿宋_GB2312" w:cs="仿宋_GB2312"/>
          <w:sz w:val="32"/>
          <w:szCs w:val="32"/>
        </w:rPr>
        <w:t>其他社会保险缴费</w:t>
      </w:r>
      <w:r>
        <w:rPr>
          <w:rFonts w:hint="eastAsia" w:ascii="仿宋_GB2312" w:hAnsi="仿宋_GB2312" w:eastAsia="仿宋_GB2312" w:cs="仿宋_GB2312"/>
          <w:sz w:val="32"/>
          <w:szCs w:val="32"/>
          <w:lang w:val="en-US" w:eastAsia="zh-CN"/>
        </w:rPr>
        <w:t>0.35万元</w:t>
      </w:r>
      <w:r>
        <w:rPr>
          <w:rFonts w:hint="eastAsia" w:ascii="仿宋_GB2312" w:hAnsi="仿宋_GB2312" w:eastAsia="仿宋_GB2312" w:cs="仿宋_GB2312"/>
          <w:sz w:val="32"/>
          <w:szCs w:val="32"/>
        </w:rPr>
        <w:t>（失业保险、工伤保险）、其他工资福利支出</w:t>
      </w:r>
      <w:r>
        <w:rPr>
          <w:rFonts w:hint="eastAsia" w:ascii="仿宋_GB2312" w:hAnsi="仿宋_GB2312" w:eastAsia="仿宋_GB2312" w:cs="仿宋_GB2312"/>
          <w:sz w:val="32"/>
          <w:szCs w:val="32"/>
          <w:lang w:val="en-US" w:eastAsia="zh-CN"/>
        </w:rPr>
        <w:t>8.81</w:t>
      </w:r>
      <w:r>
        <w:rPr>
          <w:rFonts w:hint="eastAsia" w:ascii="仿宋_GB2312" w:hAnsi="仿宋_GB2312" w:eastAsia="仿宋_GB2312" w:cs="仿宋_GB2312"/>
          <w:sz w:val="32"/>
          <w:szCs w:val="32"/>
        </w:rPr>
        <w:t>万元（个人取暖费、独生子女费、煤油补贴、加班补助、休假探亲费、乡镇教职工生活补助、特级教师津贴、其他工资福利支出）、住房公积金</w:t>
      </w:r>
      <w:r>
        <w:rPr>
          <w:rFonts w:hint="eastAsia" w:ascii="仿宋_GB2312" w:hAnsi="仿宋_GB2312" w:eastAsia="仿宋_GB2312" w:cs="仿宋_GB2312"/>
          <w:sz w:val="32"/>
          <w:szCs w:val="32"/>
          <w:lang w:val="en-US" w:eastAsia="zh-CN"/>
        </w:rPr>
        <w:t>17.44</w:t>
      </w:r>
      <w:r>
        <w:rPr>
          <w:rFonts w:hint="eastAsia" w:ascii="仿宋_GB2312" w:hAnsi="仿宋_GB2312" w:eastAsia="仿宋_GB2312" w:cs="仿宋_GB2312"/>
          <w:sz w:val="32"/>
          <w:szCs w:val="32"/>
        </w:rPr>
        <w:t>万元。</w:t>
      </w:r>
    </w:p>
    <w:p>
      <w:pPr>
        <w:keepNext w:val="0"/>
        <w:keepLines w:val="0"/>
        <w:pageBreakBefore w:val="0"/>
        <w:widowControl w:val="0"/>
        <w:kinsoku/>
        <w:wordWrap/>
        <w:overflowPunct/>
        <w:topLinePunct w:val="0"/>
        <w:bidi w:val="0"/>
        <w:spacing w:line="57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公用经费</w:t>
      </w:r>
      <w:r>
        <w:rPr>
          <w:rFonts w:hint="eastAsia" w:ascii="仿宋_GB2312" w:hAnsi="仿宋_GB2312" w:eastAsia="仿宋_GB2312" w:cs="仿宋_GB2312"/>
          <w:sz w:val="32"/>
          <w:szCs w:val="32"/>
          <w:lang w:val="en-US" w:eastAsia="zh-CN"/>
        </w:rPr>
        <w:t>31.2</w:t>
      </w:r>
      <w:r>
        <w:rPr>
          <w:rFonts w:hint="eastAsia" w:ascii="仿宋_GB2312" w:hAnsi="仿宋_GB2312" w:eastAsia="仿宋_GB2312" w:cs="仿宋_GB2312"/>
          <w:sz w:val="32"/>
          <w:szCs w:val="32"/>
        </w:rPr>
        <w:t>万元，主要包括：人员经费（办公费、印刷费、咨询费、手续费、水费、电费、邮电费、取暖费、物业管理费、差旅费、因公出国(境)费用、维修(护)费、租赁费、会议费、培训费、公务接待费、专用材料费、被装购置费、专用燃料费、劳务费、委托业务费、福利费、公务用车运行维护费、其他交通费用、税金及附加费用、公务通讯补贴、离退休人员公用经费、电梯运行维护费、食堂补助、邮寄费、其他商品和服务支出）。</w:t>
      </w:r>
    </w:p>
    <w:p>
      <w:pPr>
        <w:keepNext w:val="0"/>
        <w:keepLines w:val="0"/>
        <w:pageBreakBefore w:val="0"/>
        <w:widowControl w:val="0"/>
        <w:kinsoku/>
        <w:wordWrap/>
        <w:overflowPunct/>
        <w:topLinePunct w:val="0"/>
        <w:bidi w:val="0"/>
        <w:spacing w:line="570" w:lineRule="exact"/>
        <w:ind w:left="0" w:leftChars="0" w:right="0" w:rightChars="0" w:firstLine="640" w:firstLineChars="200"/>
        <w:textAlignment w:val="auto"/>
        <w:rPr>
          <w:rFonts w:ascii="黑体" w:hAnsi="黑体" w:eastAsia="黑体"/>
          <w:sz w:val="32"/>
          <w:szCs w:val="32"/>
        </w:rPr>
      </w:pPr>
      <w:r>
        <w:rPr>
          <w:rFonts w:hint="eastAsia" w:ascii="黑体" w:hAnsi="黑体" w:eastAsia="黑体"/>
          <w:sz w:val="32"/>
          <w:szCs w:val="32"/>
        </w:rPr>
        <w:t>七、202</w:t>
      </w:r>
      <w:r>
        <w:rPr>
          <w:rFonts w:hint="eastAsia" w:ascii="黑体" w:hAnsi="黑体" w:eastAsia="黑体"/>
          <w:sz w:val="32"/>
          <w:szCs w:val="32"/>
          <w:lang w:val="en-US" w:eastAsia="zh-CN"/>
        </w:rPr>
        <w:t>2</w:t>
      </w:r>
      <w:r>
        <w:rPr>
          <w:rFonts w:hint="eastAsia" w:ascii="黑体" w:hAnsi="黑体" w:eastAsia="黑体"/>
          <w:sz w:val="32"/>
          <w:szCs w:val="32"/>
        </w:rPr>
        <w:t>年度一般公共预算“三公”经费预算情况说明</w:t>
      </w:r>
    </w:p>
    <w:p>
      <w:pPr>
        <w:keepNext w:val="0"/>
        <w:keepLines w:val="0"/>
        <w:pageBreakBefore w:val="0"/>
        <w:widowControl w:val="0"/>
        <w:kinsoku/>
        <w:wordWrap/>
        <w:overflowPunct/>
        <w:topLinePunct w:val="0"/>
        <w:bidi w:val="0"/>
        <w:spacing w:line="570" w:lineRule="exact"/>
        <w:ind w:left="0" w:leftChars="0" w:right="0" w:rightChars="0" w:firstLine="640" w:firstLineChars="200"/>
        <w:textAlignment w:val="auto"/>
        <w:rPr>
          <w:rFonts w:hint="eastAsia" w:ascii="仿宋_GB2312" w:hAnsi="仿宋_GB2312" w:eastAsia="仿宋_GB2312" w:cs="仿宋_GB2312"/>
          <w:snapToGrid w:val="0"/>
          <w:w w:val="95"/>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年度</w:t>
      </w:r>
      <w:r>
        <w:rPr>
          <w:rFonts w:hint="eastAsia" w:ascii="仿宋_GB2312" w:hAnsi="仿宋_GB2312" w:eastAsia="仿宋_GB2312" w:cs="仿宋_GB2312"/>
          <w:snapToGrid w:val="0"/>
          <w:w w:val="95"/>
          <w:sz w:val="32"/>
          <w:szCs w:val="32"/>
        </w:rPr>
        <w:t>公务接待费1.</w:t>
      </w:r>
      <w:r>
        <w:rPr>
          <w:rFonts w:hint="eastAsia" w:ascii="仿宋_GB2312" w:hAnsi="仿宋_GB2312" w:eastAsia="仿宋_GB2312" w:cs="仿宋_GB2312"/>
          <w:snapToGrid w:val="0"/>
          <w:w w:val="95"/>
          <w:sz w:val="32"/>
          <w:szCs w:val="32"/>
          <w:lang w:val="en-US" w:eastAsia="zh-CN"/>
        </w:rPr>
        <w:t>8</w:t>
      </w:r>
      <w:r>
        <w:rPr>
          <w:rFonts w:hint="eastAsia" w:ascii="仿宋_GB2312" w:hAnsi="仿宋_GB2312" w:eastAsia="仿宋_GB2312" w:cs="仿宋_GB2312"/>
          <w:snapToGrid w:val="0"/>
          <w:w w:val="95"/>
          <w:sz w:val="32"/>
          <w:szCs w:val="32"/>
        </w:rPr>
        <w:t>万元，公务用车运行费3.</w:t>
      </w:r>
      <w:r>
        <w:rPr>
          <w:rFonts w:hint="eastAsia" w:ascii="仿宋_GB2312" w:hAnsi="仿宋_GB2312" w:eastAsia="仿宋_GB2312" w:cs="仿宋_GB2312"/>
          <w:snapToGrid w:val="0"/>
          <w:w w:val="95"/>
          <w:sz w:val="32"/>
          <w:szCs w:val="32"/>
          <w:lang w:val="en-US" w:eastAsia="zh-CN"/>
        </w:rPr>
        <w:t>6</w:t>
      </w:r>
      <w:r>
        <w:rPr>
          <w:rFonts w:hint="eastAsia" w:ascii="仿宋_GB2312" w:hAnsi="仿宋_GB2312" w:eastAsia="仿宋_GB2312" w:cs="仿宋_GB2312"/>
          <w:snapToGrid w:val="0"/>
          <w:w w:val="95"/>
          <w:sz w:val="32"/>
          <w:szCs w:val="32"/>
        </w:rPr>
        <w:t>万元。</w:t>
      </w:r>
    </w:p>
    <w:p>
      <w:pPr>
        <w:keepNext w:val="0"/>
        <w:keepLines w:val="0"/>
        <w:pageBreakBefore w:val="0"/>
        <w:widowControl w:val="0"/>
        <w:kinsoku/>
        <w:wordWrap/>
        <w:overflowPunct/>
        <w:topLinePunct w:val="0"/>
        <w:bidi w:val="0"/>
        <w:spacing w:line="570" w:lineRule="exact"/>
        <w:ind w:left="0" w:leftChars="0" w:right="0" w:rightChars="0" w:firstLine="640" w:firstLineChars="200"/>
        <w:textAlignment w:val="auto"/>
        <w:rPr>
          <w:rFonts w:ascii="黑体" w:hAnsi="黑体" w:eastAsia="黑体"/>
          <w:sz w:val="32"/>
          <w:szCs w:val="32"/>
        </w:rPr>
      </w:pPr>
      <w:r>
        <w:rPr>
          <w:rFonts w:hint="eastAsia" w:ascii="黑体" w:hAnsi="黑体" w:eastAsia="黑体"/>
          <w:sz w:val="32"/>
          <w:szCs w:val="32"/>
        </w:rPr>
        <w:t>八、202</w:t>
      </w:r>
      <w:r>
        <w:rPr>
          <w:rFonts w:hint="eastAsia" w:ascii="黑体" w:hAnsi="黑体" w:eastAsia="黑体"/>
          <w:sz w:val="32"/>
          <w:szCs w:val="32"/>
          <w:lang w:val="en-US" w:eastAsia="zh-CN"/>
        </w:rPr>
        <w:t>2</w:t>
      </w:r>
      <w:r>
        <w:rPr>
          <w:rFonts w:hint="eastAsia" w:ascii="黑体" w:hAnsi="黑体" w:eastAsia="黑体"/>
          <w:sz w:val="32"/>
          <w:szCs w:val="32"/>
        </w:rPr>
        <w:t>年度政府性基金预算支出情况说明</w:t>
      </w:r>
    </w:p>
    <w:p>
      <w:pPr>
        <w:keepNext w:val="0"/>
        <w:keepLines w:val="0"/>
        <w:pageBreakBefore w:val="0"/>
        <w:widowControl w:val="0"/>
        <w:kinsoku/>
        <w:wordWrap/>
        <w:overflowPunct/>
        <w:topLinePunct w:val="0"/>
        <w:bidi w:val="0"/>
        <w:spacing w:line="57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年度政府性基金预算收入与支出</w:t>
      </w:r>
      <w:r>
        <w:rPr>
          <w:rFonts w:hint="eastAsia" w:ascii="仿宋_GB2312" w:hAnsi="仿宋_GB2312" w:eastAsia="仿宋_GB2312" w:cs="仿宋_GB2312"/>
          <w:sz w:val="32"/>
          <w:szCs w:val="32"/>
          <w:lang w:eastAsia="zh-CN"/>
        </w:rPr>
        <w:t>为</w:t>
      </w:r>
      <w:r>
        <w:rPr>
          <w:rFonts w:hint="eastAsia" w:ascii="仿宋_GB2312" w:hAnsi="仿宋_GB2312" w:eastAsia="仿宋_GB2312" w:cs="仿宋_GB2312"/>
          <w:sz w:val="32"/>
          <w:szCs w:val="32"/>
          <w:lang w:val="en-US" w:eastAsia="zh-CN"/>
        </w:rPr>
        <w:t>26.29万元</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bidi w:val="0"/>
        <w:spacing w:line="570" w:lineRule="exact"/>
        <w:ind w:left="0" w:leftChars="0" w:right="0" w:rightChars="0" w:firstLine="640" w:firstLineChars="200"/>
        <w:textAlignment w:val="auto"/>
        <w:rPr>
          <w:rFonts w:ascii="黑体" w:hAnsi="黑体" w:eastAsia="黑体"/>
          <w:sz w:val="32"/>
          <w:szCs w:val="32"/>
        </w:rPr>
      </w:pPr>
      <w:r>
        <w:rPr>
          <w:rFonts w:hint="eastAsia" w:ascii="黑体" w:hAnsi="黑体" w:eastAsia="黑体"/>
          <w:sz w:val="32"/>
          <w:szCs w:val="32"/>
        </w:rPr>
        <w:t>九、其他重要事项的情况说明</w:t>
      </w:r>
    </w:p>
    <w:p>
      <w:pPr>
        <w:keepNext w:val="0"/>
        <w:keepLines w:val="0"/>
        <w:pageBreakBefore w:val="0"/>
        <w:widowControl w:val="0"/>
        <w:kinsoku/>
        <w:wordWrap/>
        <w:overflowPunct/>
        <w:topLinePunct w:val="0"/>
        <w:bidi w:val="0"/>
        <w:spacing w:line="570" w:lineRule="exact"/>
        <w:ind w:left="0" w:leftChars="0" w:right="0" w:rightChars="0" w:firstLine="640" w:firstLineChars="200"/>
        <w:textAlignment w:val="auto"/>
        <w:rPr>
          <w:rFonts w:ascii="楷体" w:hAnsi="楷体" w:eastAsia="楷体"/>
          <w:sz w:val="32"/>
          <w:szCs w:val="32"/>
        </w:rPr>
      </w:pPr>
      <w:r>
        <w:rPr>
          <w:rFonts w:hint="eastAsia" w:ascii="楷体" w:hAnsi="楷体" w:eastAsia="楷体"/>
          <w:sz w:val="32"/>
          <w:szCs w:val="32"/>
        </w:rPr>
        <w:t>（一）机关运行经费安排使用情况说明。</w:t>
      </w:r>
    </w:p>
    <w:p>
      <w:pPr>
        <w:keepNext w:val="0"/>
        <w:keepLines w:val="0"/>
        <w:pageBreakBefore w:val="0"/>
        <w:widowControl w:val="0"/>
        <w:kinsoku/>
        <w:wordWrap/>
        <w:overflowPunct/>
        <w:topLinePunct w:val="0"/>
        <w:bidi w:val="0"/>
        <w:spacing w:line="57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年度公务接待费1.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万元，公务用车运行费3.</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万元。</w:t>
      </w:r>
    </w:p>
    <w:p>
      <w:pPr>
        <w:keepNext w:val="0"/>
        <w:keepLines w:val="0"/>
        <w:pageBreakBefore w:val="0"/>
        <w:widowControl w:val="0"/>
        <w:kinsoku/>
        <w:wordWrap/>
        <w:overflowPunct/>
        <w:topLinePunct w:val="0"/>
        <w:autoSpaceDE w:val="0"/>
        <w:autoSpaceDN w:val="0"/>
        <w:bidi w:val="0"/>
        <w:adjustRightInd w:val="0"/>
        <w:spacing w:line="570" w:lineRule="exact"/>
        <w:ind w:left="0" w:leftChars="0" w:right="0" w:rightChars="0" w:firstLine="640" w:firstLineChars="200"/>
        <w:textAlignment w:val="auto"/>
        <w:rPr>
          <w:rFonts w:ascii="楷体" w:hAnsi="楷体" w:eastAsia="楷体"/>
          <w:sz w:val="32"/>
          <w:szCs w:val="32"/>
        </w:rPr>
      </w:pPr>
      <w:r>
        <w:rPr>
          <w:rFonts w:hint="eastAsia" w:ascii="楷体" w:hAnsi="楷体" w:eastAsia="楷体"/>
          <w:sz w:val="32"/>
          <w:szCs w:val="32"/>
        </w:rPr>
        <w:t>（二）政府采购情况说明。</w:t>
      </w:r>
    </w:p>
    <w:p>
      <w:pPr>
        <w:keepNext w:val="0"/>
        <w:keepLines w:val="0"/>
        <w:pageBreakBefore w:val="0"/>
        <w:widowControl w:val="0"/>
        <w:kinsoku/>
        <w:wordWrap/>
        <w:overflowPunct/>
        <w:topLinePunct w:val="0"/>
        <w:bidi w:val="0"/>
        <w:spacing w:line="57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黑体" w:eastAsia="仿宋_GB2312"/>
          <w:i w:val="0"/>
          <w:iCs w:val="0"/>
          <w:sz w:val="32"/>
          <w:szCs w:val="32"/>
          <w:lang w:val="en-US" w:eastAsia="zh-CN"/>
        </w:rPr>
        <w:t>2023年察隅县教育局机关</w:t>
      </w:r>
      <w:r>
        <w:rPr>
          <w:rFonts w:hint="eastAsia" w:ascii="仿宋_GB2312" w:hAnsi="仿宋_GB2312" w:eastAsia="仿宋_GB2312" w:cs="仿宋_GB2312"/>
          <w:sz w:val="32"/>
          <w:szCs w:val="32"/>
        </w:rPr>
        <w:t>政府采购预算</w:t>
      </w:r>
      <w:r>
        <w:rPr>
          <w:rFonts w:hint="eastAsia" w:ascii="仿宋_GB2312" w:hAnsi="仿宋_GB2312" w:eastAsia="仿宋_GB2312" w:cs="仿宋_GB2312"/>
          <w:sz w:val="32"/>
          <w:szCs w:val="32"/>
          <w:lang w:val="en-US" w:eastAsia="zh-CN"/>
        </w:rPr>
        <w:t>0万元</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bidi w:val="0"/>
        <w:spacing w:line="560" w:lineRule="exact"/>
        <w:ind w:left="0" w:leftChars="0" w:right="0" w:rightChars="0" w:firstLine="640" w:firstLineChars="200"/>
        <w:textAlignment w:val="auto"/>
        <w:outlineLvl w:val="9"/>
        <w:rPr>
          <w:rFonts w:hint="eastAsia" w:ascii="楷体_GB2312" w:hAnsi="楷体_GB2312" w:eastAsia="楷体_GB2312" w:cs="楷体_GB2312"/>
          <w:i w:val="0"/>
          <w:iCs w:val="0"/>
          <w:sz w:val="32"/>
          <w:szCs w:val="32"/>
          <w:lang w:val="en-US" w:eastAsia="zh-CN"/>
        </w:rPr>
      </w:pPr>
      <w:r>
        <w:rPr>
          <w:rFonts w:hint="eastAsia" w:ascii="楷体_GB2312" w:hAnsi="楷体_GB2312" w:eastAsia="楷体_GB2312" w:cs="楷体_GB2312"/>
          <w:i w:val="0"/>
          <w:iCs w:val="0"/>
          <w:sz w:val="32"/>
          <w:szCs w:val="32"/>
          <w:lang w:val="en-US" w:eastAsia="zh-CN"/>
        </w:rPr>
        <w:t>（三）国有资产占有使用情况说明。</w:t>
      </w:r>
    </w:p>
    <w:p>
      <w:pPr>
        <w:keepNext w:val="0"/>
        <w:keepLines w:val="0"/>
        <w:pageBreakBefore w:val="0"/>
        <w:kinsoku/>
        <w:wordWrap/>
        <w:overflowPunct/>
        <w:topLinePunct w:val="0"/>
        <w:bidi w:val="0"/>
        <w:spacing w:line="560" w:lineRule="exact"/>
        <w:ind w:left="0" w:leftChars="0" w:right="0" w:rightChars="0" w:firstLine="640" w:firstLineChars="200"/>
        <w:textAlignment w:val="auto"/>
        <w:outlineLvl w:val="9"/>
        <w:rPr>
          <w:rFonts w:hint="eastAsia" w:ascii="仿宋_GB2312" w:hAnsi="黑体" w:eastAsia="仿宋_GB2312"/>
          <w:i w:val="0"/>
          <w:iCs w:val="0"/>
          <w:sz w:val="32"/>
          <w:szCs w:val="32"/>
          <w:lang w:val="en-US" w:eastAsia="zh-CN"/>
        </w:rPr>
      </w:pPr>
      <w:r>
        <w:rPr>
          <w:rFonts w:hint="eastAsia" w:ascii="仿宋_GB2312" w:hAnsi="黑体" w:eastAsia="仿宋_GB2312"/>
          <w:i w:val="0"/>
          <w:iCs w:val="0"/>
          <w:sz w:val="32"/>
          <w:szCs w:val="32"/>
          <w:lang w:val="en-US" w:eastAsia="zh-CN"/>
        </w:rPr>
        <w:t>截至20223年1月底，本部门及所属各预算单位共有车辆2辆，其中，领导干部用车（含在职和离退休部级干部用车）1辆、其他用车1辆。单位价值50万元以上通用设备0台（套），单位价值100万元以上专用设备0台（套）。</w:t>
      </w:r>
    </w:p>
    <w:p>
      <w:pPr>
        <w:keepNext w:val="0"/>
        <w:keepLines w:val="0"/>
        <w:pageBreakBefore w:val="0"/>
        <w:kinsoku/>
        <w:wordWrap/>
        <w:overflowPunct/>
        <w:topLinePunct w:val="0"/>
        <w:bidi w:val="0"/>
        <w:spacing w:line="560" w:lineRule="exact"/>
        <w:ind w:left="0" w:leftChars="0" w:right="0" w:rightChars="0" w:firstLine="640" w:firstLineChars="200"/>
        <w:textAlignment w:val="auto"/>
        <w:outlineLvl w:val="9"/>
        <w:rPr>
          <w:rFonts w:hint="eastAsia" w:ascii="楷体_GB2312" w:hAnsi="楷体_GB2312" w:eastAsia="楷体_GB2312" w:cs="楷体_GB2312"/>
          <w:i w:val="0"/>
          <w:iCs w:val="0"/>
          <w:sz w:val="32"/>
          <w:szCs w:val="32"/>
          <w:lang w:val="en-US" w:eastAsia="zh-CN"/>
        </w:rPr>
      </w:pPr>
      <w:r>
        <w:rPr>
          <w:rFonts w:hint="eastAsia" w:ascii="楷体_GB2312" w:hAnsi="楷体_GB2312" w:eastAsia="楷体_GB2312" w:cs="楷体_GB2312"/>
          <w:i w:val="0"/>
          <w:iCs w:val="0"/>
          <w:sz w:val="32"/>
          <w:szCs w:val="32"/>
          <w:lang w:val="en-US" w:eastAsia="zh-CN"/>
        </w:rPr>
        <w:t>（四）预算的绩效情况说明及重点项目预算绩效目标表。</w:t>
      </w:r>
    </w:p>
    <w:p>
      <w:pPr>
        <w:keepNext w:val="0"/>
        <w:keepLines w:val="0"/>
        <w:pageBreakBefore w:val="0"/>
        <w:kinsoku/>
        <w:wordWrap/>
        <w:overflowPunct/>
        <w:topLinePunct w:val="0"/>
        <w:bidi w:val="0"/>
        <w:spacing w:line="560" w:lineRule="exact"/>
        <w:ind w:left="0" w:leftChars="0" w:right="0" w:rightChars="0" w:firstLine="640" w:firstLineChars="200"/>
        <w:textAlignment w:val="auto"/>
        <w:outlineLvl w:val="9"/>
        <w:rPr>
          <w:rFonts w:hint="eastAsia" w:ascii="仿宋_GB2312" w:hAnsi="黑体" w:eastAsia="仿宋_GB2312"/>
          <w:i w:val="0"/>
          <w:iCs w:val="0"/>
          <w:sz w:val="32"/>
          <w:szCs w:val="32"/>
          <w:lang w:val="en-US" w:eastAsia="zh-CN"/>
        </w:rPr>
      </w:pPr>
      <w:r>
        <w:rPr>
          <w:rFonts w:hint="eastAsia" w:ascii="仿宋_GB2312" w:hAnsi="黑体" w:eastAsia="仿宋_GB2312"/>
          <w:i w:val="0"/>
          <w:iCs w:val="0"/>
          <w:sz w:val="32"/>
          <w:szCs w:val="32"/>
          <w:lang w:val="en-US" w:eastAsia="zh-CN"/>
        </w:rPr>
        <w:t>2023年察隅县教育局机关实现财政支出绩效目标管理全覆盖，实行绩效目标管理19个，资金749.03万元，无政府重大决策和决策部署、影响力大且社会关注度高的项目。</w:t>
      </w:r>
    </w:p>
    <w:p>
      <w:pPr>
        <w:keepNext w:val="0"/>
        <w:keepLines w:val="0"/>
        <w:pageBreakBefore w:val="0"/>
        <w:kinsoku/>
        <w:wordWrap/>
        <w:overflowPunct/>
        <w:topLinePunct w:val="0"/>
        <w:bidi w:val="0"/>
        <w:spacing w:line="560" w:lineRule="exact"/>
        <w:ind w:left="0" w:leftChars="0" w:right="0" w:rightChars="0" w:firstLine="640" w:firstLineChars="200"/>
        <w:textAlignment w:val="auto"/>
        <w:outlineLvl w:val="9"/>
        <w:rPr>
          <w:rFonts w:hint="eastAsia" w:ascii="楷体_GB2312" w:hAnsi="楷体_GB2312" w:eastAsia="楷体_GB2312" w:cs="楷体_GB2312"/>
          <w:i w:val="0"/>
          <w:iCs w:val="0"/>
          <w:sz w:val="32"/>
          <w:szCs w:val="32"/>
          <w:lang w:val="en-US" w:eastAsia="zh-CN"/>
        </w:rPr>
      </w:pPr>
      <w:r>
        <w:rPr>
          <w:rFonts w:hint="eastAsia" w:ascii="楷体_GB2312" w:hAnsi="楷体_GB2312" w:eastAsia="楷体_GB2312" w:cs="楷体_GB2312"/>
          <w:i w:val="0"/>
          <w:iCs w:val="0"/>
          <w:sz w:val="32"/>
          <w:szCs w:val="32"/>
          <w:lang w:val="en-US" w:eastAsia="zh-CN"/>
        </w:rPr>
        <w:t>（五）扶贫资金管理使用情况及绩效目标情况说明。</w:t>
      </w:r>
    </w:p>
    <w:p>
      <w:pPr>
        <w:keepNext w:val="0"/>
        <w:keepLines w:val="0"/>
        <w:pageBreakBefore w:val="0"/>
        <w:kinsoku/>
        <w:wordWrap/>
        <w:overflowPunct/>
        <w:topLinePunct w:val="0"/>
        <w:bidi w:val="0"/>
        <w:spacing w:line="560" w:lineRule="exact"/>
        <w:ind w:left="0" w:leftChars="0" w:right="0" w:rightChars="0" w:firstLine="640" w:firstLineChars="200"/>
        <w:textAlignment w:val="auto"/>
        <w:outlineLvl w:val="9"/>
        <w:rPr>
          <w:rFonts w:hint="eastAsia" w:ascii="仿宋_GB2312" w:hAnsi="黑体" w:eastAsia="仿宋_GB2312"/>
          <w:i w:val="0"/>
          <w:iCs w:val="0"/>
          <w:sz w:val="32"/>
          <w:szCs w:val="32"/>
          <w:lang w:val="en-US" w:eastAsia="zh-CN"/>
        </w:rPr>
      </w:pPr>
      <w:r>
        <w:rPr>
          <w:rFonts w:hint="eastAsia" w:ascii="仿宋_GB2312" w:hAnsi="黑体" w:eastAsia="仿宋_GB2312"/>
          <w:i w:val="0"/>
          <w:iCs w:val="0"/>
          <w:sz w:val="32"/>
          <w:szCs w:val="32"/>
          <w:lang w:val="en-US" w:eastAsia="zh-CN"/>
        </w:rPr>
        <w:t>2023年度无扶贫资金预算安排。</w:t>
      </w:r>
    </w:p>
    <w:p>
      <w:pPr>
        <w:keepNext w:val="0"/>
        <w:keepLines w:val="0"/>
        <w:pageBreakBefore w:val="0"/>
        <w:kinsoku/>
        <w:wordWrap/>
        <w:overflowPunct/>
        <w:topLinePunct w:val="0"/>
        <w:bidi w:val="0"/>
        <w:spacing w:line="560" w:lineRule="exact"/>
        <w:ind w:left="0" w:leftChars="0" w:right="0" w:rightChars="0" w:firstLine="640" w:firstLineChars="200"/>
        <w:textAlignment w:val="auto"/>
        <w:outlineLvl w:val="9"/>
        <w:rPr>
          <w:rFonts w:hint="eastAsia" w:ascii="楷体_GB2312" w:hAnsi="楷体_GB2312" w:eastAsia="楷体_GB2312" w:cs="楷体_GB2312"/>
          <w:i w:val="0"/>
          <w:iCs w:val="0"/>
          <w:sz w:val="32"/>
          <w:szCs w:val="32"/>
          <w:lang w:val="en-US" w:eastAsia="zh-CN"/>
        </w:rPr>
      </w:pPr>
      <w:r>
        <w:rPr>
          <w:rFonts w:hint="eastAsia" w:ascii="楷体_GB2312" w:hAnsi="楷体_GB2312" w:eastAsia="楷体_GB2312" w:cs="楷体_GB2312"/>
          <w:i w:val="0"/>
          <w:iCs w:val="0"/>
          <w:sz w:val="32"/>
          <w:szCs w:val="32"/>
          <w:lang w:val="en-US" w:eastAsia="zh-CN"/>
        </w:rPr>
        <w:t>（六）政府债务情况。</w:t>
      </w:r>
    </w:p>
    <w:p>
      <w:pPr>
        <w:keepNext w:val="0"/>
        <w:keepLines w:val="0"/>
        <w:pageBreakBefore w:val="0"/>
        <w:kinsoku/>
        <w:wordWrap/>
        <w:overflowPunct/>
        <w:topLinePunct w:val="0"/>
        <w:bidi w:val="0"/>
        <w:spacing w:line="560" w:lineRule="exact"/>
        <w:ind w:left="0" w:leftChars="0" w:right="0" w:rightChars="0" w:firstLine="640" w:firstLineChars="200"/>
        <w:textAlignment w:val="auto"/>
        <w:outlineLvl w:val="9"/>
        <w:rPr>
          <w:rFonts w:hint="eastAsia" w:ascii="仿宋_GB2312" w:hAnsi="黑体" w:eastAsia="仿宋_GB2312"/>
          <w:i w:val="0"/>
          <w:iCs w:val="0"/>
          <w:sz w:val="32"/>
          <w:szCs w:val="32"/>
          <w:lang w:val="en-US" w:eastAsia="zh-CN"/>
        </w:rPr>
      </w:pPr>
      <w:r>
        <w:rPr>
          <w:rFonts w:hint="eastAsia" w:ascii="仿宋_GB2312" w:hAnsi="黑体" w:eastAsia="仿宋_GB2312"/>
          <w:i w:val="0"/>
          <w:iCs w:val="0"/>
          <w:sz w:val="32"/>
          <w:szCs w:val="32"/>
          <w:lang w:val="en-US" w:eastAsia="zh-CN"/>
        </w:rPr>
        <w:t>本单位无举借债务情况。</w:t>
      </w:r>
    </w:p>
    <w:p>
      <w:pPr>
        <w:keepNext w:val="0"/>
        <w:keepLines w:val="0"/>
        <w:pageBreakBefore w:val="0"/>
        <w:kinsoku/>
        <w:wordWrap/>
        <w:overflowPunct/>
        <w:topLinePunct w:val="0"/>
        <w:bidi w:val="0"/>
        <w:spacing w:line="560" w:lineRule="exact"/>
        <w:ind w:left="0" w:leftChars="0" w:right="0" w:rightChars="0" w:firstLine="640" w:firstLineChars="200"/>
        <w:textAlignment w:val="auto"/>
        <w:outlineLvl w:val="9"/>
        <w:rPr>
          <w:rFonts w:hint="eastAsia" w:ascii="仿宋_GB2312" w:hAnsi="黑体" w:eastAsia="仿宋_GB2312"/>
          <w:i w:val="0"/>
          <w:iCs w:val="0"/>
          <w:sz w:val="32"/>
          <w:szCs w:val="32"/>
          <w:lang w:val="en-US" w:eastAsia="zh-CN"/>
        </w:rPr>
      </w:pPr>
    </w:p>
    <w:p>
      <w:pPr>
        <w:keepNext w:val="0"/>
        <w:keepLines w:val="0"/>
        <w:pageBreakBefore w:val="0"/>
        <w:widowControl w:val="0"/>
        <w:kinsoku/>
        <w:wordWrap/>
        <w:overflowPunct/>
        <w:topLinePunct w:val="0"/>
        <w:bidi w:val="0"/>
        <w:spacing w:line="570" w:lineRule="exact"/>
        <w:ind w:right="0" w:rightChars="0"/>
        <w:jc w:val="center"/>
        <w:textAlignment w:val="auto"/>
        <w:rPr>
          <w:rFonts w:ascii="方正小标宋简体" w:hAnsi="仿宋" w:eastAsia="方正小标宋简体"/>
          <w:sz w:val="44"/>
          <w:szCs w:val="44"/>
        </w:rPr>
      </w:pPr>
      <w:r>
        <w:rPr>
          <w:rFonts w:hint="eastAsia" w:ascii="方正小标宋简体" w:hAnsi="仿宋" w:eastAsia="方正小标宋简体"/>
          <w:sz w:val="44"/>
          <w:szCs w:val="44"/>
        </w:rPr>
        <w:t>第四部分</w:t>
      </w:r>
      <w:r>
        <w:rPr>
          <w:rFonts w:hint="eastAsia" w:ascii="方正小标宋简体" w:hAnsi="仿宋" w:eastAsia="方正小标宋简体"/>
          <w:sz w:val="44"/>
          <w:szCs w:val="44"/>
          <w:lang w:val="en-US" w:eastAsia="zh-CN"/>
        </w:rPr>
        <w:t xml:space="preserve">  </w:t>
      </w:r>
      <w:r>
        <w:rPr>
          <w:rFonts w:hint="eastAsia" w:ascii="方正小标宋简体" w:hAnsi="仿宋" w:eastAsia="方正小标宋简体"/>
          <w:sz w:val="44"/>
          <w:szCs w:val="44"/>
        </w:rPr>
        <w:t>名词解释</w:t>
      </w:r>
    </w:p>
    <w:p>
      <w:pPr>
        <w:keepNext w:val="0"/>
        <w:keepLines w:val="0"/>
        <w:pageBreakBefore w:val="0"/>
        <w:widowControl w:val="0"/>
        <w:kinsoku/>
        <w:wordWrap/>
        <w:overflowPunct/>
        <w:topLinePunct w:val="0"/>
        <w:bidi w:val="0"/>
        <w:spacing w:line="570" w:lineRule="exact"/>
        <w:ind w:left="0" w:leftChars="0" w:right="0" w:rightChars="0"/>
        <w:textAlignment w:val="auto"/>
        <w:rPr>
          <w:rFonts w:ascii="仿宋" w:hAnsi="仿宋" w:eastAsia="仿宋"/>
          <w:sz w:val="32"/>
          <w:szCs w:val="32"/>
        </w:rPr>
      </w:pPr>
    </w:p>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黑体" w:eastAsia="仿宋_GB2312"/>
          <w:i w:val="0"/>
          <w:iCs w:val="0"/>
          <w:sz w:val="32"/>
          <w:szCs w:val="32"/>
          <w:lang w:val="en-US" w:eastAsia="zh-CN"/>
        </w:rPr>
      </w:pPr>
      <w:r>
        <w:rPr>
          <w:rFonts w:hint="eastAsia" w:ascii="黑体" w:hAnsi="宋体" w:eastAsia="黑体" w:cs="黑体"/>
          <w:i w:val="0"/>
          <w:iCs w:val="0"/>
          <w:snapToGrid/>
          <w:kern w:val="0"/>
          <w:sz w:val="32"/>
          <w:szCs w:val="32"/>
          <w:lang w:val="en-US" w:eastAsia="zh-CN" w:bidi="ar"/>
        </w:rPr>
        <w:t>一、一般公共预算拨款收入</w:t>
      </w:r>
      <w:r>
        <w:rPr>
          <w:rFonts w:hint="eastAsia" w:ascii="仿宋_GB2312" w:hAnsi="宋体" w:eastAsia="仿宋_GB2312" w:cs="宋体"/>
          <w:i w:val="0"/>
          <w:iCs w:val="0"/>
          <w:snapToGrid/>
          <w:kern w:val="0"/>
          <w:sz w:val="32"/>
          <w:szCs w:val="32"/>
          <w:lang w:val="en-US" w:eastAsia="zh-CN" w:bidi="ar"/>
        </w:rPr>
        <w:t>：</w:t>
      </w:r>
      <w:r>
        <w:rPr>
          <w:rFonts w:hint="eastAsia" w:ascii="仿宋_GB2312" w:hAnsi="黑体" w:eastAsia="仿宋_GB2312"/>
          <w:i w:val="0"/>
          <w:iCs w:val="0"/>
          <w:sz w:val="32"/>
          <w:szCs w:val="32"/>
          <w:lang w:val="en-US" w:eastAsia="zh-CN"/>
        </w:rPr>
        <w:t>指本级财政当年拨付的资金。</w:t>
      </w:r>
    </w:p>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sz w:val="32"/>
          <w:szCs w:val="32"/>
          <w:lang w:val="en-US"/>
        </w:rPr>
      </w:pPr>
      <w:r>
        <w:rPr>
          <w:rFonts w:hint="eastAsia" w:ascii="黑体" w:hAnsi="宋体" w:eastAsia="黑体" w:cs="黑体"/>
          <w:i w:val="0"/>
          <w:iCs w:val="0"/>
          <w:snapToGrid/>
          <w:kern w:val="0"/>
          <w:sz w:val="32"/>
          <w:szCs w:val="32"/>
          <w:lang w:val="en-US" w:eastAsia="zh-CN" w:bidi="ar"/>
        </w:rPr>
        <w:t>二、其他收入：</w:t>
      </w:r>
      <w:r>
        <w:rPr>
          <w:rFonts w:hint="eastAsia" w:ascii="仿宋_GB2312" w:hAnsi="黑体" w:eastAsia="仿宋_GB2312"/>
          <w:i w:val="0"/>
          <w:iCs w:val="0"/>
          <w:sz w:val="32"/>
          <w:szCs w:val="32"/>
          <w:lang w:val="en-US" w:eastAsia="zh-CN"/>
        </w:rPr>
        <w:t>指除上述“一般公共预算拨款收入”、“事业收入”、“事业单位经营收入”等以外的收入。主要是按规定动用的售房收入、存款利息收入等。</w:t>
      </w:r>
    </w:p>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sz w:val="32"/>
          <w:szCs w:val="32"/>
          <w:lang w:val="en-US"/>
        </w:rPr>
      </w:pPr>
      <w:r>
        <w:rPr>
          <w:rFonts w:hint="eastAsia" w:ascii="黑体" w:hAnsi="宋体" w:eastAsia="黑体" w:cs="黑体"/>
          <w:i w:val="0"/>
          <w:iCs w:val="0"/>
          <w:snapToGrid/>
          <w:kern w:val="0"/>
          <w:sz w:val="32"/>
          <w:szCs w:val="32"/>
          <w:lang w:val="en-US" w:eastAsia="zh-CN" w:bidi="ar"/>
        </w:rPr>
        <w:t>三、上年结转：</w:t>
      </w:r>
      <w:r>
        <w:rPr>
          <w:rFonts w:hint="eastAsia" w:ascii="仿宋_GB2312" w:hAnsi="黑体" w:eastAsia="仿宋_GB2312"/>
          <w:i w:val="0"/>
          <w:iCs w:val="0"/>
          <w:sz w:val="32"/>
          <w:szCs w:val="32"/>
          <w:lang w:val="en-US" w:eastAsia="zh-CN"/>
        </w:rPr>
        <w:t>指以前年度安排、结转到本年仍按原规定用途继续使用的资金。</w:t>
      </w:r>
    </w:p>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sz w:val="32"/>
          <w:szCs w:val="32"/>
          <w:lang w:val="en-US"/>
        </w:rPr>
      </w:pPr>
      <w:r>
        <w:rPr>
          <w:rFonts w:hint="eastAsia" w:ascii="黑体" w:hAnsi="宋体" w:eastAsia="黑体" w:cs="黑体"/>
          <w:i w:val="0"/>
          <w:iCs w:val="0"/>
          <w:snapToGrid/>
          <w:kern w:val="0"/>
          <w:sz w:val="32"/>
          <w:szCs w:val="32"/>
          <w:lang w:val="en-US" w:eastAsia="zh-CN" w:bidi="ar"/>
        </w:rPr>
        <w:t>四、一般公共服务支出：</w:t>
      </w:r>
      <w:r>
        <w:rPr>
          <w:rFonts w:hint="eastAsia" w:ascii="仿宋_GB2312" w:hAnsi="黑体" w:eastAsia="仿宋_GB2312"/>
          <w:i w:val="0"/>
          <w:iCs w:val="0"/>
          <w:sz w:val="32"/>
          <w:szCs w:val="32"/>
          <w:lang w:val="en-US" w:eastAsia="zh-CN"/>
        </w:rPr>
        <w:t>反应政府提供一般公共服务的支出。</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Calibri" w:eastAsia="仿宋_GB2312" w:cs="仿宋_GB2312"/>
          <w:i w:val="0"/>
          <w:iCs w:val="0"/>
          <w:sz w:val="32"/>
          <w:szCs w:val="32"/>
          <w:lang w:val="en-US"/>
        </w:rPr>
      </w:pPr>
      <w:r>
        <w:rPr>
          <w:rFonts w:hint="eastAsia" w:ascii="黑体" w:hAnsi="宋体" w:eastAsia="黑体" w:cs="黑体"/>
          <w:i w:val="0"/>
          <w:iCs w:val="0"/>
          <w:snapToGrid/>
          <w:kern w:val="0"/>
          <w:sz w:val="32"/>
          <w:szCs w:val="32"/>
          <w:lang w:val="en-US" w:eastAsia="zh-CN" w:bidi="ar"/>
        </w:rPr>
        <w:t>五、基本支出：</w:t>
      </w:r>
      <w:r>
        <w:rPr>
          <w:rFonts w:hint="eastAsia" w:ascii="仿宋_GB2312" w:hAnsi="黑体" w:eastAsia="仿宋_GB2312"/>
          <w:i w:val="0"/>
          <w:iCs w:val="0"/>
          <w:sz w:val="32"/>
          <w:szCs w:val="32"/>
          <w:lang w:val="en-US" w:eastAsia="zh-CN"/>
        </w:rPr>
        <w:t>指为保障机构正常运转、完成日常工作任务而发生的人员支出和公用支出。</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sz w:val="32"/>
          <w:szCs w:val="32"/>
          <w:lang w:val="en-US"/>
        </w:rPr>
      </w:pPr>
      <w:r>
        <w:rPr>
          <w:rFonts w:hint="eastAsia" w:ascii="黑体" w:hAnsi="宋体" w:eastAsia="黑体" w:cs="黑体"/>
          <w:i w:val="0"/>
          <w:iCs w:val="0"/>
          <w:snapToGrid/>
          <w:kern w:val="0"/>
          <w:sz w:val="32"/>
          <w:szCs w:val="32"/>
          <w:lang w:val="en-US" w:eastAsia="zh-CN" w:bidi="ar"/>
        </w:rPr>
        <w:t>六、项目支出：</w:t>
      </w:r>
      <w:r>
        <w:rPr>
          <w:rFonts w:hint="eastAsia" w:ascii="仿宋_GB2312" w:hAnsi="黑体" w:eastAsia="仿宋_GB2312"/>
          <w:i w:val="0"/>
          <w:iCs w:val="0"/>
          <w:sz w:val="32"/>
          <w:szCs w:val="32"/>
          <w:lang w:val="en-US" w:eastAsia="zh-CN"/>
        </w:rPr>
        <w:t>指在基本支出之外为完成特定行政任务或事业发展目标所发生的支出。</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sz w:val="32"/>
          <w:szCs w:val="32"/>
          <w:lang w:val="en-US"/>
        </w:rPr>
      </w:pPr>
      <w:r>
        <w:rPr>
          <w:rFonts w:hint="eastAsia" w:ascii="黑体" w:hAnsi="宋体" w:eastAsia="黑体" w:cs="黑体"/>
          <w:i w:val="0"/>
          <w:iCs w:val="0"/>
          <w:snapToGrid/>
          <w:kern w:val="0"/>
          <w:sz w:val="32"/>
          <w:szCs w:val="32"/>
          <w:lang w:val="en-US" w:eastAsia="zh-CN" w:bidi="ar"/>
        </w:rPr>
        <w:t>七、住房保障支出：</w:t>
      </w:r>
      <w:r>
        <w:rPr>
          <w:rFonts w:hint="eastAsia" w:ascii="仿宋_GB2312" w:hAnsi="黑体" w:eastAsia="仿宋_GB2312"/>
          <w:i w:val="0"/>
          <w:iCs w:val="0"/>
          <w:sz w:val="32"/>
          <w:szCs w:val="32"/>
          <w:lang w:val="en-US" w:eastAsia="zh-CN"/>
        </w:rPr>
        <w:t>集中反映政府用于住房方面的支出。</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sz w:val="32"/>
          <w:szCs w:val="32"/>
          <w:lang w:val="en-US"/>
        </w:rPr>
      </w:pPr>
      <w:r>
        <w:rPr>
          <w:rFonts w:hint="eastAsia" w:ascii="黑体" w:hAnsi="宋体" w:eastAsia="黑体" w:cs="黑体"/>
          <w:i w:val="0"/>
          <w:iCs w:val="0"/>
          <w:snapToGrid/>
          <w:kern w:val="0"/>
          <w:sz w:val="32"/>
          <w:szCs w:val="32"/>
          <w:lang w:val="en-US" w:eastAsia="zh-CN" w:bidi="ar"/>
        </w:rPr>
        <w:t>八、机关运行经费：</w:t>
      </w:r>
      <w:r>
        <w:rPr>
          <w:rFonts w:hint="eastAsia" w:ascii="仿宋_GB2312" w:hAnsi="黑体" w:eastAsia="仿宋_GB2312"/>
          <w:i w:val="0"/>
          <w:iCs w:val="0"/>
          <w:sz w:val="32"/>
          <w:szCs w:val="32"/>
          <w:lang w:val="en-US" w:eastAsia="zh-CN"/>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宋体" w:eastAsia="仿宋_GB2312" w:cs="仿宋_GB2312"/>
          <w:i w:val="0"/>
          <w:iCs w:val="0"/>
          <w:sz w:val="32"/>
          <w:szCs w:val="32"/>
          <w:lang w:val="en-US"/>
        </w:rPr>
      </w:pPr>
      <w:r>
        <w:rPr>
          <w:rFonts w:hint="eastAsia" w:ascii="黑体" w:hAnsi="宋体" w:eastAsia="黑体" w:cs="黑体"/>
          <w:i w:val="0"/>
          <w:iCs w:val="0"/>
          <w:snapToGrid/>
          <w:kern w:val="0"/>
          <w:sz w:val="32"/>
          <w:szCs w:val="32"/>
          <w:lang w:val="en-US" w:eastAsia="zh-CN" w:bidi="ar"/>
        </w:rPr>
        <w:t>九、“三公”经费：</w:t>
      </w:r>
      <w:r>
        <w:rPr>
          <w:rFonts w:hint="eastAsia" w:ascii="仿宋_GB2312" w:hAnsi="黑体" w:eastAsia="仿宋_GB2312"/>
          <w:i w:val="0"/>
          <w:iCs w:val="0"/>
          <w:sz w:val="32"/>
          <w:szCs w:val="32"/>
          <w:lang w:val="en-US" w:eastAsia="zh-CN"/>
        </w:rPr>
        <w:t>包括因公出国（境）费、公务接待费和公务用车购置及运行费。因公出国（境）费，指单位工作人员公务出国（境）的住宿费、旅费、伙食补助费、杂费、培训费等支出。公务接待费，指单位按规定开支的各类公务接待（含外宾接待）支出。公务用车购置及运行费，指单位公务用车购置费及租用费、燃料费、维修费、过路过桥费、保险费、安全奖励费用等支出，公务用车指用于履行公务的机动车辆，包括领导干部专车、一般公务用车和执法执勤用车。</w:t>
      </w:r>
    </w:p>
    <w:p>
      <w:pPr>
        <w:keepNext w:val="0"/>
        <w:keepLines w:val="0"/>
        <w:pageBreakBefore w:val="0"/>
        <w:kinsoku/>
        <w:wordWrap/>
        <w:overflowPunct/>
        <w:topLinePunct w:val="0"/>
        <w:bidi w:val="0"/>
        <w:spacing w:line="560" w:lineRule="exact"/>
        <w:ind w:left="0" w:leftChars="0" w:right="0" w:rightChars="0" w:firstLine="640" w:firstLineChars="200"/>
        <w:textAlignment w:val="auto"/>
        <w:outlineLvl w:val="9"/>
        <w:rPr>
          <w:rFonts w:hint="eastAsia" w:ascii="仿宋_GB2312" w:hAnsi="黑体" w:eastAsia="仿宋_GB2312"/>
          <w:i w:val="0"/>
          <w:iCs w:val="0"/>
          <w:sz w:val="32"/>
          <w:szCs w:val="32"/>
          <w:lang w:eastAsia="zh-CN"/>
        </w:rPr>
      </w:pPr>
      <w:r>
        <w:rPr>
          <w:rFonts w:hint="eastAsia" w:ascii="黑体" w:hAnsi="宋体" w:eastAsia="黑体" w:cs="Times New Roman"/>
          <w:i w:val="0"/>
          <w:iCs w:val="0"/>
          <w:snapToGrid/>
          <w:kern w:val="0"/>
          <w:sz w:val="32"/>
          <w:szCs w:val="32"/>
          <w:lang w:val="en-US" w:eastAsia="zh-CN" w:bidi="ar"/>
        </w:rPr>
        <w:t>十、重点项目：</w:t>
      </w:r>
      <w:r>
        <w:rPr>
          <w:rFonts w:hint="eastAsia" w:ascii="仿宋_GB2312" w:hAnsi="黑体" w:eastAsia="仿宋_GB2312"/>
          <w:i w:val="0"/>
          <w:iCs w:val="0"/>
          <w:sz w:val="32"/>
          <w:szCs w:val="32"/>
          <w:lang w:val="en-US" w:eastAsia="zh-CN"/>
        </w:rPr>
        <w:t>贯彻落实自治区党委、政府重大方针政策和决策部署的项目，覆盖面广、影响力大、社会关注度高、实施期长的项目，与本部门职能职责密切相关的项目或预算安排支出相对较大的项目（具体重点项目由各部门结合实际自行确定）。</w:t>
      </w:r>
    </w:p>
    <w:p>
      <w:pPr>
        <w:keepNext w:val="0"/>
        <w:keepLines w:val="0"/>
        <w:pageBreakBefore w:val="0"/>
        <w:widowControl w:val="0"/>
        <w:kinsoku/>
        <w:wordWrap/>
        <w:overflowPunct/>
        <w:topLinePunct w:val="0"/>
        <w:bidi w:val="0"/>
        <w:snapToGrid/>
        <w:spacing w:line="570" w:lineRule="exact"/>
        <w:ind w:left="0" w:leftChars="0" w:right="0" w:rightChars="0" w:firstLine="640" w:firstLineChars="200"/>
        <w:textAlignment w:val="auto"/>
        <w:outlineLvl w:val="9"/>
        <w:rPr>
          <w:rFonts w:ascii="仿宋" w:hAnsi="仿宋" w:eastAsia="仿宋"/>
          <w:sz w:val="32"/>
          <w:szCs w:val="32"/>
        </w:rPr>
      </w:pPr>
    </w:p>
    <w:sectPr>
      <w:headerReference r:id="rId3" w:type="default"/>
      <w:footerReference r:id="rId4" w:type="default"/>
      <w:footerReference r:id="rId5"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Style w:val="8"/>
                              <w:rFonts w:hint="eastAsia" w:ascii="仿宋_GB2312" w:hAnsi="仿宋_GB2312" w:eastAsia="仿宋_GB2312" w:cs="仿宋_GB2312"/>
                              <w:sz w:val="28"/>
                              <w:szCs w:val="28"/>
                            </w:rPr>
                          </w:pPr>
                          <w:r>
                            <w:rPr>
                              <w:rStyle w:val="8"/>
                              <w:rFonts w:hint="eastAsia" w:ascii="仿宋_GB2312" w:hAnsi="仿宋_GB2312" w:eastAsia="仿宋_GB2312" w:cs="仿宋_GB2312"/>
                              <w:sz w:val="28"/>
                              <w:szCs w:val="28"/>
                            </w:rPr>
                            <w:fldChar w:fldCharType="begin"/>
                          </w:r>
                          <w:r>
                            <w:rPr>
                              <w:rStyle w:val="8"/>
                              <w:rFonts w:hint="eastAsia" w:ascii="仿宋_GB2312" w:hAnsi="仿宋_GB2312" w:eastAsia="仿宋_GB2312" w:cs="仿宋_GB2312"/>
                              <w:sz w:val="28"/>
                              <w:szCs w:val="28"/>
                            </w:rPr>
                            <w:instrText xml:space="preserve">PAGE  </w:instrText>
                          </w:r>
                          <w:r>
                            <w:rPr>
                              <w:rStyle w:val="8"/>
                              <w:rFonts w:hint="eastAsia" w:ascii="仿宋_GB2312" w:hAnsi="仿宋_GB2312" w:eastAsia="仿宋_GB2312" w:cs="仿宋_GB2312"/>
                              <w:sz w:val="28"/>
                              <w:szCs w:val="28"/>
                            </w:rPr>
                            <w:fldChar w:fldCharType="separate"/>
                          </w:r>
                          <w:r>
                            <w:rPr>
                              <w:rStyle w:val="8"/>
                              <w:rFonts w:hint="eastAsia" w:ascii="仿宋_GB2312" w:hAnsi="仿宋_GB2312" w:eastAsia="仿宋_GB2312" w:cs="仿宋_GB2312"/>
                              <w:sz w:val="28"/>
                              <w:szCs w:val="28"/>
                            </w:rPr>
                            <w:t>1</w:t>
                          </w:r>
                          <w:r>
                            <w:rPr>
                              <w:rStyle w:val="8"/>
                              <w:rFonts w:hint="eastAsia" w:ascii="仿宋_GB2312" w:hAnsi="仿宋_GB2312" w:eastAsia="仿宋_GB2312" w:cs="仿宋_GB2312"/>
                              <w:sz w:val="28"/>
                              <w:szCs w:val="28"/>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pPr>
                      <w:pStyle w:val="4"/>
                      <w:rPr>
                        <w:rStyle w:val="8"/>
                        <w:rFonts w:hint="eastAsia" w:ascii="仿宋_GB2312" w:hAnsi="仿宋_GB2312" w:eastAsia="仿宋_GB2312" w:cs="仿宋_GB2312"/>
                        <w:sz w:val="28"/>
                        <w:szCs w:val="28"/>
                      </w:rPr>
                    </w:pPr>
                    <w:r>
                      <w:rPr>
                        <w:rStyle w:val="8"/>
                        <w:rFonts w:hint="eastAsia" w:ascii="仿宋_GB2312" w:hAnsi="仿宋_GB2312" w:eastAsia="仿宋_GB2312" w:cs="仿宋_GB2312"/>
                        <w:sz w:val="28"/>
                        <w:szCs w:val="28"/>
                      </w:rPr>
                      <w:fldChar w:fldCharType="begin"/>
                    </w:r>
                    <w:r>
                      <w:rPr>
                        <w:rStyle w:val="8"/>
                        <w:rFonts w:hint="eastAsia" w:ascii="仿宋_GB2312" w:hAnsi="仿宋_GB2312" w:eastAsia="仿宋_GB2312" w:cs="仿宋_GB2312"/>
                        <w:sz w:val="28"/>
                        <w:szCs w:val="28"/>
                      </w:rPr>
                      <w:instrText xml:space="preserve">PAGE  </w:instrText>
                    </w:r>
                    <w:r>
                      <w:rPr>
                        <w:rStyle w:val="8"/>
                        <w:rFonts w:hint="eastAsia" w:ascii="仿宋_GB2312" w:hAnsi="仿宋_GB2312" w:eastAsia="仿宋_GB2312" w:cs="仿宋_GB2312"/>
                        <w:sz w:val="28"/>
                        <w:szCs w:val="28"/>
                      </w:rPr>
                      <w:fldChar w:fldCharType="separate"/>
                    </w:r>
                    <w:r>
                      <w:rPr>
                        <w:rStyle w:val="8"/>
                        <w:rFonts w:hint="eastAsia" w:ascii="仿宋_GB2312" w:hAnsi="仿宋_GB2312" w:eastAsia="仿宋_GB2312" w:cs="仿宋_GB2312"/>
                        <w:sz w:val="28"/>
                        <w:szCs w:val="28"/>
                      </w:rPr>
                      <w:t>1</w:t>
                    </w:r>
                    <w:r>
                      <w:rPr>
                        <w:rStyle w:val="8"/>
                        <w:rFonts w:hint="eastAsia" w:ascii="仿宋_GB2312" w:hAnsi="仿宋_GB2312" w:eastAsia="仿宋_GB2312" w:cs="仿宋_GB2312"/>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yMTIwNDZjZjEwNWFhYjBkMWJiZDZlMzY2ZDgzOWUifQ=="/>
  </w:docVars>
  <w:rsids>
    <w:rsidRoot w:val="00172A27"/>
    <w:rsid w:val="00015A4C"/>
    <w:rsid w:val="00041C59"/>
    <w:rsid w:val="00043AA8"/>
    <w:rsid w:val="00086B54"/>
    <w:rsid w:val="00096F91"/>
    <w:rsid w:val="000A1AFA"/>
    <w:rsid w:val="000A6427"/>
    <w:rsid w:val="000F293F"/>
    <w:rsid w:val="00105104"/>
    <w:rsid w:val="001162B6"/>
    <w:rsid w:val="00137481"/>
    <w:rsid w:val="00151C9B"/>
    <w:rsid w:val="00160603"/>
    <w:rsid w:val="00160D39"/>
    <w:rsid w:val="00174215"/>
    <w:rsid w:val="001A47B8"/>
    <w:rsid w:val="001A6CD9"/>
    <w:rsid w:val="001B4F21"/>
    <w:rsid w:val="001B7117"/>
    <w:rsid w:val="001E25E8"/>
    <w:rsid w:val="001E413D"/>
    <w:rsid w:val="001F5E8D"/>
    <w:rsid w:val="00211391"/>
    <w:rsid w:val="00213708"/>
    <w:rsid w:val="00230405"/>
    <w:rsid w:val="00255CD4"/>
    <w:rsid w:val="00266E39"/>
    <w:rsid w:val="00285201"/>
    <w:rsid w:val="002B4B50"/>
    <w:rsid w:val="002E550F"/>
    <w:rsid w:val="0031342C"/>
    <w:rsid w:val="003139C9"/>
    <w:rsid w:val="00322979"/>
    <w:rsid w:val="00323C72"/>
    <w:rsid w:val="00343F94"/>
    <w:rsid w:val="003646E6"/>
    <w:rsid w:val="00371B62"/>
    <w:rsid w:val="00371BC9"/>
    <w:rsid w:val="003A4455"/>
    <w:rsid w:val="003A4970"/>
    <w:rsid w:val="003C07B1"/>
    <w:rsid w:val="003E21A4"/>
    <w:rsid w:val="003E2D5B"/>
    <w:rsid w:val="0042253D"/>
    <w:rsid w:val="00454A21"/>
    <w:rsid w:val="004573CF"/>
    <w:rsid w:val="004773FB"/>
    <w:rsid w:val="00480381"/>
    <w:rsid w:val="00490C1D"/>
    <w:rsid w:val="004970A2"/>
    <w:rsid w:val="004B70D0"/>
    <w:rsid w:val="004C433B"/>
    <w:rsid w:val="004C45A4"/>
    <w:rsid w:val="004D363A"/>
    <w:rsid w:val="004F0973"/>
    <w:rsid w:val="00510F60"/>
    <w:rsid w:val="00512DED"/>
    <w:rsid w:val="005227B8"/>
    <w:rsid w:val="00542D4C"/>
    <w:rsid w:val="005472B4"/>
    <w:rsid w:val="00552117"/>
    <w:rsid w:val="005526AE"/>
    <w:rsid w:val="00556119"/>
    <w:rsid w:val="0056413E"/>
    <w:rsid w:val="00570F81"/>
    <w:rsid w:val="00576C78"/>
    <w:rsid w:val="00577343"/>
    <w:rsid w:val="00587E83"/>
    <w:rsid w:val="00593341"/>
    <w:rsid w:val="0059715A"/>
    <w:rsid w:val="005B264E"/>
    <w:rsid w:val="005B7595"/>
    <w:rsid w:val="005D584E"/>
    <w:rsid w:val="005E5236"/>
    <w:rsid w:val="005F2417"/>
    <w:rsid w:val="005F2DA3"/>
    <w:rsid w:val="00611AA9"/>
    <w:rsid w:val="00622C63"/>
    <w:rsid w:val="00640514"/>
    <w:rsid w:val="00641243"/>
    <w:rsid w:val="00643004"/>
    <w:rsid w:val="00653B9E"/>
    <w:rsid w:val="0067255B"/>
    <w:rsid w:val="006A497D"/>
    <w:rsid w:val="006B41A1"/>
    <w:rsid w:val="006C4305"/>
    <w:rsid w:val="006D5592"/>
    <w:rsid w:val="00737A27"/>
    <w:rsid w:val="007529D0"/>
    <w:rsid w:val="00753C16"/>
    <w:rsid w:val="007A00E8"/>
    <w:rsid w:val="007A6ED2"/>
    <w:rsid w:val="007C5A03"/>
    <w:rsid w:val="008001B3"/>
    <w:rsid w:val="0080401E"/>
    <w:rsid w:val="00813A99"/>
    <w:rsid w:val="008314A5"/>
    <w:rsid w:val="00835E1D"/>
    <w:rsid w:val="008468ED"/>
    <w:rsid w:val="0085478E"/>
    <w:rsid w:val="0086465E"/>
    <w:rsid w:val="00871235"/>
    <w:rsid w:val="00875CA7"/>
    <w:rsid w:val="008770A2"/>
    <w:rsid w:val="00885072"/>
    <w:rsid w:val="00890723"/>
    <w:rsid w:val="0089630C"/>
    <w:rsid w:val="008A6719"/>
    <w:rsid w:val="008C1F95"/>
    <w:rsid w:val="008D39A8"/>
    <w:rsid w:val="008E490F"/>
    <w:rsid w:val="008F37FF"/>
    <w:rsid w:val="008F5CAA"/>
    <w:rsid w:val="0092254B"/>
    <w:rsid w:val="0095324A"/>
    <w:rsid w:val="00953C23"/>
    <w:rsid w:val="0096127B"/>
    <w:rsid w:val="00993FFC"/>
    <w:rsid w:val="009B2113"/>
    <w:rsid w:val="009D0EC6"/>
    <w:rsid w:val="009D330A"/>
    <w:rsid w:val="009D58A7"/>
    <w:rsid w:val="00A04FAE"/>
    <w:rsid w:val="00A239B3"/>
    <w:rsid w:val="00A25D6E"/>
    <w:rsid w:val="00A262A5"/>
    <w:rsid w:val="00A3432E"/>
    <w:rsid w:val="00A42EB8"/>
    <w:rsid w:val="00A53E77"/>
    <w:rsid w:val="00A615F1"/>
    <w:rsid w:val="00A81865"/>
    <w:rsid w:val="00A825B5"/>
    <w:rsid w:val="00A83879"/>
    <w:rsid w:val="00AC1350"/>
    <w:rsid w:val="00B007C8"/>
    <w:rsid w:val="00B60721"/>
    <w:rsid w:val="00B6522F"/>
    <w:rsid w:val="00B67A9E"/>
    <w:rsid w:val="00B74CCE"/>
    <w:rsid w:val="00B84681"/>
    <w:rsid w:val="00B92C71"/>
    <w:rsid w:val="00B96D8F"/>
    <w:rsid w:val="00BC5647"/>
    <w:rsid w:val="00BD2BDC"/>
    <w:rsid w:val="00BD58F0"/>
    <w:rsid w:val="00BE6B5B"/>
    <w:rsid w:val="00BE6DF3"/>
    <w:rsid w:val="00C2239E"/>
    <w:rsid w:val="00C51E09"/>
    <w:rsid w:val="00C623D5"/>
    <w:rsid w:val="00C63BEE"/>
    <w:rsid w:val="00C76A23"/>
    <w:rsid w:val="00C77CA6"/>
    <w:rsid w:val="00CD29AE"/>
    <w:rsid w:val="00CE472E"/>
    <w:rsid w:val="00CE7C4E"/>
    <w:rsid w:val="00CF4F30"/>
    <w:rsid w:val="00D22EF7"/>
    <w:rsid w:val="00D25868"/>
    <w:rsid w:val="00D632F1"/>
    <w:rsid w:val="00D8669F"/>
    <w:rsid w:val="00DB0231"/>
    <w:rsid w:val="00DC0879"/>
    <w:rsid w:val="00E03AF9"/>
    <w:rsid w:val="00E104B4"/>
    <w:rsid w:val="00E115D0"/>
    <w:rsid w:val="00E233E9"/>
    <w:rsid w:val="00E32EC0"/>
    <w:rsid w:val="00E4103C"/>
    <w:rsid w:val="00E42C47"/>
    <w:rsid w:val="00E6642D"/>
    <w:rsid w:val="00E745C7"/>
    <w:rsid w:val="00E82B77"/>
    <w:rsid w:val="00E904F2"/>
    <w:rsid w:val="00EB5EFC"/>
    <w:rsid w:val="00EB7129"/>
    <w:rsid w:val="00EC3348"/>
    <w:rsid w:val="00EE0A42"/>
    <w:rsid w:val="00F00FDB"/>
    <w:rsid w:val="00F06045"/>
    <w:rsid w:val="00F07089"/>
    <w:rsid w:val="00F21E99"/>
    <w:rsid w:val="00F4454F"/>
    <w:rsid w:val="00F50409"/>
    <w:rsid w:val="00F62DFB"/>
    <w:rsid w:val="00F96845"/>
    <w:rsid w:val="018D5E34"/>
    <w:rsid w:val="05421E6A"/>
    <w:rsid w:val="05507DD6"/>
    <w:rsid w:val="058F5947"/>
    <w:rsid w:val="066840FC"/>
    <w:rsid w:val="067D1820"/>
    <w:rsid w:val="069806DF"/>
    <w:rsid w:val="07632202"/>
    <w:rsid w:val="07783827"/>
    <w:rsid w:val="07DF7978"/>
    <w:rsid w:val="08C900E8"/>
    <w:rsid w:val="093D574A"/>
    <w:rsid w:val="0A1D6979"/>
    <w:rsid w:val="0A644950"/>
    <w:rsid w:val="0AB26AF1"/>
    <w:rsid w:val="0B435CE6"/>
    <w:rsid w:val="0B6A3473"/>
    <w:rsid w:val="0BAE3035"/>
    <w:rsid w:val="0BFD5916"/>
    <w:rsid w:val="0C2F3FB7"/>
    <w:rsid w:val="0CBF4C18"/>
    <w:rsid w:val="0D223807"/>
    <w:rsid w:val="0D2A42AA"/>
    <w:rsid w:val="0D4E5761"/>
    <w:rsid w:val="0E4F2377"/>
    <w:rsid w:val="0E6352A9"/>
    <w:rsid w:val="0E981627"/>
    <w:rsid w:val="0EE7605E"/>
    <w:rsid w:val="0F6F7723"/>
    <w:rsid w:val="0F8F5D15"/>
    <w:rsid w:val="0FA45DAA"/>
    <w:rsid w:val="0FE87689"/>
    <w:rsid w:val="10580552"/>
    <w:rsid w:val="108A76B0"/>
    <w:rsid w:val="10B474E4"/>
    <w:rsid w:val="10E2302E"/>
    <w:rsid w:val="11202FEF"/>
    <w:rsid w:val="11843458"/>
    <w:rsid w:val="11B53BDF"/>
    <w:rsid w:val="11F46DEC"/>
    <w:rsid w:val="12381462"/>
    <w:rsid w:val="12601991"/>
    <w:rsid w:val="12CE626F"/>
    <w:rsid w:val="13F56026"/>
    <w:rsid w:val="1424395D"/>
    <w:rsid w:val="14B24AC5"/>
    <w:rsid w:val="15703205"/>
    <w:rsid w:val="15861168"/>
    <w:rsid w:val="15A7528C"/>
    <w:rsid w:val="15ED6E3F"/>
    <w:rsid w:val="16857A11"/>
    <w:rsid w:val="16966C02"/>
    <w:rsid w:val="17443F0E"/>
    <w:rsid w:val="17B75B29"/>
    <w:rsid w:val="18792048"/>
    <w:rsid w:val="194523AC"/>
    <w:rsid w:val="19A51568"/>
    <w:rsid w:val="19AD7D04"/>
    <w:rsid w:val="19C42EC9"/>
    <w:rsid w:val="1A6C6421"/>
    <w:rsid w:val="1AA06A95"/>
    <w:rsid w:val="1B123216"/>
    <w:rsid w:val="1BC51428"/>
    <w:rsid w:val="1C877E34"/>
    <w:rsid w:val="1C992150"/>
    <w:rsid w:val="1D451AE9"/>
    <w:rsid w:val="1DA52D9C"/>
    <w:rsid w:val="1EC5286A"/>
    <w:rsid w:val="201A5D8F"/>
    <w:rsid w:val="20D240DA"/>
    <w:rsid w:val="2150294C"/>
    <w:rsid w:val="219B7DE8"/>
    <w:rsid w:val="21BC48A4"/>
    <w:rsid w:val="222E1D99"/>
    <w:rsid w:val="22574D8E"/>
    <w:rsid w:val="23C822D2"/>
    <w:rsid w:val="24557B7E"/>
    <w:rsid w:val="24565B5A"/>
    <w:rsid w:val="25064A6D"/>
    <w:rsid w:val="259142FE"/>
    <w:rsid w:val="25E477AD"/>
    <w:rsid w:val="264834DB"/>
    <w:rsid w:val="267232B8"/>
    <w:rsid w:val="274122CF"/>
    <w:rsid w:val="27721E22"/>
    <w:rsid w:val="27E76210"/>
    <w:rsid w:val="28256B4D"/>
    <w:rsid w:val="28C51D67"/>
    <w:rsid w:val="293070A0"/>
    <w:rsid w:val="294B0072"/>
    <w:rsid w:val="295A5C1F"/>
    <w:rsid w:val="298B3EE7"/>
    <w:rsid w:val="29EA0F52"/>
    <w:rsid w:val="2A4A7DC9"/>
    <w:rsid w:val="2ABE58DE"/>
    <w:rsid w:val="2B7272BC"/>
    <w:rsid w:val="2C145107"/>
    <w:rsid w:val="2C3946F8"/>
    <w:rsid w:val="2D2F164C"/>
    <w:rsid w:val="2D4A0A31"/>
    <w:rsid w:val="2D6B3BDB"/>
    <w:rsid w:val="2DBC2F9C"/>
    <w:rsid w:val="2DE23A76"/>
    <w:rsid w:val="2E1C550F"/>
    <w:rsid w:val="2E3629F4"/>
    <w:rsid w:val="2E650EB8"/>
    <w:rsid w:val="2E9A25A3"/>
    <w:rsid w:val="2F1E47E2"/>
    <w:rsid w:val="300B54C8"/>
    <w:rsid w:val="305B08FE"/>
    <w:rsid w:val="30A51876"/>
    <w:rsid w:val="30C4173A"/>
    <w:rsid w:val="3104114B"/>
    <w:rsid w:val="310C2B70"/>
    <w:rsid w:val="31171224"/>
    <w:rsid w:val="318859F4"/>
    <w:rsid w:val="318B3BEF"/>
    <w:rsid w:val="31BD780B"/>
    <w:rsid w:val="31CF30CF"/>
    <w:rsid w:val="31D56580"/>
    <w:rsid w:val="31DB7DB3"/>
    <w:rsid w:val="323D4803"/>
    <w:rsid w:val="344876BA"/>
    <w:rsid w:val="34894047"/>
    <w:rsid w:val="35CA5CBB"/>
    <w:rsid w:val="36831BFF"/>
    <w:rsid w:val="372B47E3"/>
    <w:rsid w:val="382E34DE"/>
    <w:rsid w:val="387F1842"/>
    <w:rsid w:val="38B416D9"/>
    <w:rsid w:val="39EB6F7F"/>
    <w:rsid w:val="3A1076BD"/>
    <w:rsid w:val="3A3313D8"/>
    <w:rsid w:val="3A495312"/>
    <w:rsid w:val="3A6B10EF"/>
    <w:rsid w:val="3A703706"/>
    <w:rsid w:val="3B4A7097"/>
    <w:rsid w:val="3B667851"/>
    <w:rsid w:val="3B8830C1"/>
    <w:rsid w:val="3BE547A3"/>
    <w:rsid w:val="3C33513B"/>
    <w:rsid w:val="3C616321"/>
    <w:rsid w:val="3D2657EF"/>
    <w:rsid w:val="3F0C11B3"/>
    <w:rsid w:val="3F627857"/>
    <w:rsid w:val="3F7F4EAF"/>
    <w:rsid w:val="3FA608F2"/>
    <w:rsid w:val="3FD54D2B"/>
    <w:rsid w:val="3FE14323"/>
    <w:rsid w:val="403F798E"/>
    <w:rsid w:val="40A54FEB"/>
    <w:rsid w:val="40C87996"/>
    <w:rsid w:val="41FF0DDE"/>
    <w:rsid w:val="42017178"/>
    <w:rsid w:val="424A7F95"/>
    <w:rsid w:val="435A7243"/>
    <w:rsid w:val="43A45B37"/>
    <w:rsid w:val="43E76E52"/>
    <w:rsid w:val="44E8040B"/>
    <w:rsid w:val="458A2908"/>
    <w:rsid w:val="46565349"/>
    <w:rsid w:val="4784415D"/>
    <w:rsid w:val="47960E15"/>
    <w:rsid w:val="491840B5"/>
    <w:rsid w:val="49B151DD"/>
    <w:rsid w:val="4AC836D8"/>
    <w:rsid w:val="4B11423B"/>
    <w:rsid w:val="4B657C27"/>
    <w:rsid w:val="4B70587D"/>
    <w:rsid w:val="4B7F23BF"/>
    <w:rsid w:val="4C72575C"/>
    <w:rsid w:val="4C7478C6"/>
    <w:rsid w:val="4C760D58"/>
    <w:rsid w:val="4CF573D5"/>
    <w:rsid w:val="4D5728E8"/>
    <w:rsid w:val="4D5F41BB"/>
    <w:rsid w:val="4D6E0056"/>
    <w:rsid w:val="4DC46C4F"/>
    <w:rsid w:val="4E4D127C"/>
    <w:rsid w:val="4EBC0028"/>
    <w:rsid w:val="4EF03B4A"/>
    <w:rsid w:val="4F0520F0"/>
    <w:rsid w:val="4F2E6E63"/>
    <w:rsid w:val="4F390F91"/>
    <w:rsid w:val="4F394C26"/>
    <w:rsid w:val="4F6C6563"/>
    <w:rsid w:val="50082A7D"/>
    <w:rsid w:val="50407475"/>
    <w:rsid w:val="51902AFC"/>
    <w:rsid w:val="5300031E"/>
    <w:rsid w:val="534A1D91"/>
    <w:rsid w:val="53777785"/>
    <w:rsid w:val="539B79C4"/>
    <w:rsid w:val="54662C78"/>
    <w:rsid w:val="551A477F"/>
    <w:rsid w:val="55BB6B47"/>
    <w:rsid w:val="560B7BC1"/>
    <w:rsid w:val="56231D59"/>
    <w:rsid w:val="567A026C"/>
    <w:rsid w:val="573C7E6C"/>
    <w:rsid w:val="573E57F1"/>
    <w:rsid w:val="579E789F"/>
    <w:rsid w:val="57A73391"/>
    <w:rsid w:val="589C629F"/>
    <w:rsid w:val="59654A64"/>
    <w:rsid w:val="59A65D94"/>
    <w:rsid w:val="59DF41A2"/>
    <w:rsid w:val="5B1949B8"/>
    <w:rsid w:val="5B9E6337"/>
    <w:rsid w:val="5BCE5033"/>
    <w:rsid w:val="5BE643AE"/>
    <w:rsid w:val="5C271DD9"/>
    <w:rsid w:val="5C434BA4"/>
    <w:rsid w:val="5CDB3A5A"/>
    <w:rsid w:val="5CE40A81"/>
    <w:rsid w:val="5D887BAC"/>
    <w:rsid w:val="5E354318"/>
    <w:rsid w:val="5EF70929"/>
    <w:rsid w:val="5F6A0CF3"/>
    <w:rsid w:val="5FC9736D"/>
    <w:rsid w:val="6039353D"/>
    <w:rsid w:val="604B0306"/>
    <w:rsid w:val="60D81C3B"/>
    <w:rsid w:val="617C70C4"/>
    <w:rsid w:val="6274258B"/>
    <w:rsid w:val="6280206F"/>
    <w:rsid w:val="628272A6"/>
    <w:rsid w:val="62AE66F6"/>
    <w:rsid w:val="62E90F3F"/>
    <w:rsid w:val="63195023"/>
    <w:rsid w:val="63A72AE9"/>
    <w:rsid w:val="63C630D5"/>
    <w:rsid w:val="64146218"/>
    <w:rsid w:val="64185735"/>
    <w:rsid w:val="646321D8"/>
    <w:rsid w:val="64A551F7"/>
    <w:rsid w:val="64D13CB7"/>
    <w:rsid w:val="65113863"/>
    <w:rsid w:val="65AE07EE"/>
    <w:rsid w:val="66A06558"/>
    <w:rsid w:val="67094462"/>
    <w:rsid w:val="67620207"/>
    <w:rsid w:val="6875134A"/>
    <w:rsid w:val="689F75B6"/>
    <w:rsid w:val="69E551E9"/>
    <w:rsid w:val="6B640033"/>
    <w:rsid w:val="6B95184C"/>
    <w:rsid w:val="6BD512DE"/>
    <w:rsid w:val="6BDE35A2"/>
    <w:rsid w:val="6C3C24BA"/>
    <w:rsid w:val="6C9310F1"/>
    <w:rsid w:val="6DB14171"/>
    <w:rsid w:val="6DC94939"/>
    <w:rsid w:val="6DDA4287"/>
    <w:rsid w:val="6FA879D8"/>
    <w:rsid w:val="71195BC9"/>
    <w:rsid w:val="71243A6C"/>
    <w:rsid w:val="71D8418B"/>
    <w:rsid w:val="727B266A"/>
    <w:rsid w:val="729A5C25"/>
    <w:rsid w:val="72C93F15"/>
    <w:rsid w:val="73744A3E"/>
    <w:rsid w:val="73B41F0F"/>
    <w:rsid w:val="75045B89"/>
    <w:rsid w:val="750E2428"/>
    <w:rsid w:val="75CA4B60"/>
    <w:rsid w:val="764079D7"/>
    <w:rsid w:val="77512454"/>
    <w:rsid w:val="77AD0B95"/>
    <w:rsid w:val="77B92647"/>
    <w:rsid w:val="77D45F7E"/>
    <w:rsid w:val="781E58D0"/>
    <w:rsid w:val="78A540A0"/>
    <w:rsid w:val="798C001E"/>
    <w:rsid w:val="7A875D77"/>
    <w:rsid w:val="7B1244F5"/>
    <w:rsid w:val="7BA14348"/>
    <w:rsid w:val="7BB95819"/>
    <w:rsid w:val="7C5D2F21"/>
    <w:rsid w:val="7C5F0ACC"/>
    <w:rsid w:val="7DDC12DE"/>
    <w:rsid w:val="7EA83769"/>
    <w:rsid w:val="7EB65EE2"/>
    <w:rsid w:val="7FC330A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link w:val="13"/>
    <w:qFormat/>
    <w:uiPriority w:val="0"/>
    <w:pPr>
      <w:keepNext/>
      <w:keepLines/>
      <w:spacing w:before="260" w:after="260" w:line="413" w:lineRule="auto"/>
      <w:outlineLvl w:val="2"/>
    </w:pPr>
    <w:rPr>
      <w:rFonts w:eastAsia="楷体_GB2312"/>
      <w:b/>
      <w:sz w:val="32"/>
      <w:szCs w:val="20"/>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3">
    <w:name w:val="Balloon Text"/>
    <w:basedOn w:val="1"/>
    <w:link w:val="11"/>
    <w:unhideWhenUsed/>
    <w:qFormat/>
    <w:uiPriority w:val="99"/>
    <w:rPr>
      <w:sz w:val="18"/>
      <w:szCs w:val="18"/>
    </w:rPr>
  </w:style>
  <w:style w:type="paragraph" w:styleId="4">
    <w:name w:val="footer"/>
    <w:basedOn w:val="1"/>
    <w:link w:val="10"/>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9"/>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8">
    <w:name w:val="page number"/>
    <w:basedOn w:val="7"/>
    <w:qFormat/>
    <w:uiPriority w:val="0"/>
  </w:style>
  <w:style w:type="character" w:customStyle="1" w:styleId="9">
    <w:name w:val="页眉 Char"/>
    <w:basedOn w:val="7"/>
    <w:link w:val="5"/>
    <w:qFormat/>
    <w:uiPriority w:val="99"/>
    <w:rPr>
      <w:sz w:val="18"/>
      <w:szCs w:val="18"/>
    </w:rPr>
  </w:style>
  <w:style w:type="character" w:customStyle="1" w:styleId="10">
    <w:name w:val="页脚 Char"/>
    <w:basedOn w:val="7"/>
    <w:link w:val="4"/>
    <w:qFormat/>
    <w:uiPriority w:val="99"/>
    <w:rPr>
      <w:sz w:val="18"/>
      <w:szCs w:val="18"/>
    </w:rPr>
  </w:style>
  <w:style w:type="character" w:customStyle="1" w:styleId="11">
    <w:name w:val="批注框文本 Char"/>
    <w:basedOn w:val="7"/>
    <w:link w:val="3"/>
    <w:semiHidden/>
    <w:qFormat/>
    <w:uiPriority w:val="99"/>
    <w:rPr>
      <w:rFonts w:ascii="Times New Roman" w:hAnsi="Times New Roman" w:eastAsia="宋体" w:cs="Times New Roman"/>
      <w:sz w:val="18"/>
      <w:szCs w:val="18"/>
    </w:rPr>
  </w:style>
  <w:style w:type="paragraph" w:customStyle="1" w:styleId="12">
    <w:name w:val="正文 New"/>
    <w:qFormat/>
    <w:uiPriority w:val="0"/>
    <w:pPr>
      <w:widowControl w:val="0"/>
      <w:jc w:val="both"/>
    </w:pPr>
    <w:rPr>
      <w:rFonts w:ascii="Times New Roman" w:hAnsi="Times New Roman" w:eastAsia="仿宋_GB2312" w:cs="Times New Roman"/>
      <w:kern w:val="2"/>
      <w:sz w:val="32"/>
      <w:lang w:val="en-US" w:eastAsia="zh-CN" w:bidi="ar-SA"/>
    </w:rPr>
  </w:style>
  <w:style w:type="character" w:customStyle="1" w:styleId="13">
    <w:name w:val="标题 3 Char"/>
    <w:basedOn w:val="7"/>
    <w:link w:val="2"/>
    <w:qFormat/>
    <w:uiPriority w:val="0"/>
    <w:rPr>
      <w:rFonts w:ascii="Times New Roman" w:hAnsi="Times New Roman" w:eastAsia="楷体_GB2312" w:cs="Times New Roman"/>
      <w:b/>
      <w:sz w:val="32"/>
      <w:szCs w:val="20"/>
    </w:rPr>
  </w:style>
  <w:style w:type="paragraph" w:customStyle="1" w:styleId="14">
    <w:name w:val="正文 New New"/>
    <w:qFormat/>
    <w:uiPriority w:val="0"/>
    <w:pPr>
      <w:widowControl w:val="0"/>
      <w:jc w:val="both"/>
    </w:pPr>
    <w:rPr>
      <w:rFonts w:ascii="Times New Roman" w:hAnsi="Times New Roman" w:eastAsia="仿宋_GB2312" w:cs="Times New Roman"/>
      <w:kern w:val="2"/>
      <w:sz w:val="32"/>
      <w:lang w:val="en-US" w:eastAsia="zh-CN" w:bidi="ar-SA"/>
    </w:rPr>
  </w:style>
  <w:style w:type="paragraph" w:customStyle="1" w:styleId="15">
    <w:name w:val="p0"/>
    <w:basedOn w:val="1"/>
    <w:qFormat/>
    <w:uiPriority w:val="0"/>
    <w:pPr>
      <w:spacing w:line="365" w:lineRule="atLeast"/>
      <w:ind w:left="1"/>
    </w:pPr>
    <w:rPr>
      <w:sz w:val="20"/>
      <w:szCs w:val="20"/>
    </w:rPr>
  </w:style>
  <w:style w:type="paragraph" w:customStyle="1" w:styleId="16">
    <w:name w:val="正文 New New New"/>
    <w:qFormat/>
    <w:uiPriority w:val="0"/>
    <w:pPr>
      <w:widowControl w:val="0"/>
      <w:jc w:val="both"/>
    </w:pPr>
    <w:rPr>
      <w:rFonts w:ascii="Times New Roman" w:hAnsi="Times New Roman" w:eastAsia="仿宋_GB2312" w:cs="Times New Roman"/>
      <w:kern w:val="2"/>
      <w:sz w:val="3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4905</Words>
  <Characters>5546</Characters>
  <Lines>25</Lines>
  <Paragraphs>7</Paragraphs>
  <TotalTime>29</TotalTime>
  <ScaleCrop>false</ScaleCrop>
  <LinksUpToDate>false</LinksUpToDate>
  <CharactersWithSpaces>5558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2021-01-19T10:08:00Z</dcterms:created>
  <dc:creator>CN=预算处/OU=预算处/OU=西藏自治区财政厅/O=TIBET</dc:creator>
  <cp:lastModifiedBy>Administrator</cp:lastModifiedBy>
  <cp:lastPrinted>2021-01-27T11:28:00Z</cp:lastPrinted>
  <dcterms:modified xsi:type="dcterms:W3CDTF">2023-03-12T03:33:46Z</dcterms:modified>
  <cp:revision>215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AEDDA59B763F4A21BBE66BAC1B3280DA</vt:lpwstr>
  </property>
</Properties>
</file>