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黑体" w:eastAsia="黑体" w:cs="Times New Roman"/>
          <w:b/>
          <w:sz w:val="52"/>
          <w:szCs w:val="52"/>
        </w:rPr>
      </w:pPr>
    </w:p>
    <w:p>
      <w:pPr>
        <w:spacing w:line="640" w:lineRule="exact"/>
        <w:jc w:val="both"/>
        <w:rPr>
          <w:rFonts w:ascii="黑体" w:eastAsia="黑体" w:cs="Times New Roman"/>
          <w:b/>
          <w:sz w:val="52"/>
          <w:szCs w:val="52"/>
        </w:rPr>
      </w:pPr>
    </w:p>
    <w:p>
      <w:pPr>
        <w:spacing w:line="64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察隅县</w:t>
      </w:r>
      <w:r>
        <w:rPr>
          <w:rFonts w:hint="eastAsia" w:ascii="方正小标宋简体" w:hAnsi="方正小标宋简体" w:eastAsia="方正小标宋简体" w:cs="方正小标宋简体"/>
          <w:b w:val="0"/>
          <w:bCs/>
          <w:sz w:val="44"/>
          <w:szCs w:val="44"/>
          <w:lang w:eastAsia="zh-CN"/>
        </w:rPr>
        <w:t>语委办2023年</w:t>
      </w:r>
      <w:r>
        <w:rPr>
          <w:rFonts w:hint="eastAsia" w:ascii="方正小标宋简体" w:hAnsi="方正小标宋简体" w:eastAsia="方正小标宋简体" w:cs="方正小标宋简体"/>
          <w:b w:val="0"/>
          <w:bCs/>
          <w:sz w:val="44"/>
          <w:szCs w:val="44"/>
        </w:rPr>
        <w:t>度部门预算</w:t>
      </w:r>
    </w:p>
    <w:p>
      <w:pPr>
        <w:rPr>
          <w:rFonts w:cs="Times New Roman"/>
          <w:sz w:val="44"/>
          <w:szCs w:val="44"/>
        </w:rPr>
      </w:pPr>
    </w:p>
    <w:p>
      <w:pPr>
        <w:rPr>
          <w:rFonts w:cs="Times New Roman"/>
          <w:sz w:val="44"/>
          <w:szCs w:val="44"/>
        </w:rPr>
      </w:pPr>
    </w:p>
    <w:p>
      <w:pPr>
        <w:rPr>
          <w:rFonts w:cs="Times New Roman"/>
          <w:sz w:val="44"/>
          <w:szCs w:val="44"/>
        </w:rPr>
      </w:pPr>
    </w:p>
    <w:p>
      <w:pPr>
        <w:rPr>
          <w:rFonts w:cs="Times New Roman"/>
          <w:sz w:val="44"/>
          <w:szCs w:val="44"/>
        </w:rPr>
      </w:pPr>
    </w:p>
    <w:p>
      <w:pPr>
        <w:rPr>
          <w:rFonts w:cs="Times New Roman"/>
          <w:sz w:val="44"/>
          <w:szCs w:val="44"/>
        </w:rPr>
      </w:pPr>
    </w:p>
    <w:p>
      <w:pPr>
        <w:rPr>
          <w:rFonts w:cs="Times New Roman"/>
          <w:sz w:val="44"/>
          <w:szCs w:val="44"/>
        </w:rPr>
      </w:pPr>
    </w:p>
    <w:p>
      <w:pPr>
        <w:rPr>
          <w:rFonts w:cs="Times New Roman"/>
          <w:sz w:val="44"/>
          <w:szCs w:val="44"/>
        </w:rPr>
      </w:pPr>
    </w:p>
    <w:p>
      <w:pPr>
        <w:rPr>
          <w:rFonts w:cs="Times New Roman"/>
          <w:sz w:val="44"/>
          <w:szCs w:val="44"/>
        </w:rPr>
      </w:pPr>
    </w:p>
    <w:p>
      <w:pPr>
        <w:rPr>
          <w:rFonts w:cs="Times New Roman"/>
          <w:sz w:val="44"/>
          <w:szCs w:val="44"/>
        </w:rPr>
      </w:pPr>
    </w:p>
    <w:p>
      <w:pPr>
        <w:rPr>
          <w:rFonts w:cs="Times New Roman"/>
          <w:sz w:val="44"/>
          <w:szCs w:val="44"/>
        </w:rPr>
      </w:pPr>
    </w:p>
    <w:p>
      <w:pPr>
        <w:rPr>
          <w:rFonts w:cs="Times New Roman"/>
          <w:sz w:val="44"/>
          <w:szCs w:val="44"/>
        </w:rPr>
      </w:pP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eastAsia" w:ascii="仿宋_GB2312" w:hAnsi="宋体" w:eastAsia="仿宋_GB2312"/>
          <w:snapToGrid w:val="0"/>
          <w:w w:val="95"/>
          <w:sz w:val="32"/>
          <w:szCs w:val="32"/>
          <w:lang w:val="en-US" w:eastAsia="zh-CN"/>
        </w:rPr>
      </w:pPr>
      <w:r>
        <w:rPr>
          <w:rFonts w:hint="eastAsia" w:ascii="仿宋_GB2312" w:hAnsi="宋体" w:eastAsia="仿宋_GB2312"/>
          <w:snapToGrid w:val="0"/>
          <w:w w:val="95"/>
          <w:sz w:val="32"/>
          <w:szCs w:val="32"/>
          <w:lang w:val="en-US" w:eastAsia="zh-CN"/>
        </w:rPr>
        <w:t>2023年02月16日</w:t>
      </w:r>
    </w:p>
    <w:p>
      <w:pPr>
        <w:jc w:val="both"/>
        <w:rPr>
          <w:rFonts w:ascii="黑体" w:hAnsi="黑体" w:eastAsia="黑体"/>
          <w:b/>
          <w:snapToGrid w:val="0"/>
          <w:w w:val="95"/>
          <w:sz w:val="44"/>
          <w:szCs w:val="44"/>
        </w:rPr>
      </w:pP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eastAsia" w:ascii="黑体" w:hAnsi="黑体" w:eastAsia="黑体"/>
          <w:b/>
          <w:snapToGrid w:val="0"/>
          <w:w w:val="95"/>
          <w:sz w:val="44"/>
          <w:szCs w:val="44"/>
        </w:rPr>
      </w:pP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eastAsia" w:ascii="黑体" w:hAnsi="黑体" w:eastAsia="黑体"/>
          <w:b/>
          <w:snapToGrid w:val="0"/>
          <w:w w:val="95"/>
          <w:sz w:val="44"/>
          <w:szCs w:val="44"/>
        </w:rPr>
      </w:pPr>
    </w:p>
    <w:p>
      <w:pPr>
        <w:spacing w:line="64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目</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rPr>
        <w:t>录</w:t>
      </w: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eastAsia" w:ascii="黑体" w:hAnsi="黑体" w:eastAsia="黑体"/>
          <w:b/>
          <w:snapToGrid w:val="0"/>
          <w:w w:val="95"/>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0" w:firstLineChars="0"/>
        <w:jc w:val="both"/>
        <w:textAlignment w:val="auto"/>
        <w:outlineLvl w:val="9"/>
        <w:rPr>
          <w:rFonts w:hint="eastAsia" w:ascii="黑体" w:hAnsi="黑体" w:eastAsia="黑体" w:cs="黑体"/>
          <w:b w:val="0"/>
          <w:bCs/>
          <w:snapToGrid w:val="0"/>
          <w:w w:val="95"/>
          <w:sz w:val="32"/>
          <w:szCs w:val="32"/>
        </w:rPr>
      </w:pPr>
      <w:r>
        <w:rPr>
          <w:rFonts w:hint="eastAsia" w:ascii="黑体" w:hAnsi="黑体" w:eastAsia="黑体" w:cs="黑体"/>
          <w:b w:val="0"/>
          <w:bCs/>
          <w:snapToGrid w:val="0"/>
          <w:w w:val="95"/>
          <w:sz w:val="32"/>
          <w:szCs w:val="32"/>
        </w:rPr>
        <w:t>第一部分  察隅县</w:t>
      </w:r>
      <w:r>
        <w:rPr>
          <w:rFonts w:hint="eastAsia" w:ascii="黑体" w:hAnsi="黑体" w:eastAsia="黑体" w:cs="黑体"/>
          <w:b w:val="0"/>
          <w:bCs/>
          <w:snapToGrid w:val="0"/>
          <w:w w:val="95"/>
          <w:sz w:val="32"/>
          <w:szCs w:val="32"/>
          <w:lang w:eastAsia="zh-CN"/>
        </w:rPr>
        <w:t>语委办（部门）</w:t>
      </w:r>
      <w:r>
        <w:rPr>
          <w:rFonts w:hint="eastAsia" w:ascii="黑体" w:hAnsi="黑体" w:eastAsia="黑体" w:cs="黑体"/>
          <w:b w:val="0"/>
          <w:bCs/>
          <w:snapToGrid w:val="0"/>
          <w:w w:val="95"/>
          <w:sz w:val="32"/>
          <w:szCs w:val="32"/>
        </w:rPr>
        <w:t>概况</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0" w:firstLineChars="0"/>
        <w:jc w:val="both"/>
        <w:textAlignment w:val="auto"/>
        <w:outlineLvl w:val="9"/>
        <w:rPr>
          <w:rFonts w:hint="eastAsia" w:ascii="仿宋_GB2312" w:hAnsi="宋体" w:eastAsia="仿宋_GB2312"/>
          <w:snapToGrid w:val="0"/>
          <w:w w:val="95"/>
          <w:sz w:val="32"/>
          <w:szCs w:val="32"/>
        </w:rPr>
      </w:pPr>
      <w:r>
        <w:rPr>
          <w:rFonts w:hint="eastAsia" w:ascii="仿宋_GB2312" w:hAnsi="宋体" w:eastAsia="仿宋_GB2312"/>
          <w:snapToGrid w:val="0"/>
          <w:w w:val="95"/>
          <w:sz w:val="32"/>
          <w:szCs w:val="32"/>
        </w:rPr>
        <w:t>一、主要职能</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0" w:firstLineChars="0"/>
        <w:jc w:val="both"/>
        <w:textAlignment w:val="auto"/>
        <w:outlineLvl w:val="9"/>
        <w:rPr>
          <w:rFonts w:hint="eastAsia" w:ascii="仿宋_GB2312" w:hAnsi="宋体" w:eastAsia="仿宋_GB2312"/>
          <w:snapToGrid w:val="0"/>
          <w:w w:val="95"/>
          <w:sz w:val="32"/>
          <w:szCs w:val="32"/>
        </w:rPr>
      </w:pPr>
      <w:r>
        <w:rPr>
          <w:rFonts w:hint="eastAsia" w:ascii="仿宋_GB2312" w:hAnsi="宋体" w:eastAsia="仿宋_GB2312"/>
          <w:snapToGrid w:val="0"/>
          <w:w w:val="95"/>
          <w:sz w:val="32"/>
          <w:szCs w:val="32"/>
        </w:rPr>
        <w:t>二、部门预算单位构成</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0" w:firstLineChars="0"/>
        <w:jc w:val="both"/>
        <w:textAlignment w:val="auto"/>
        <w:outlineLvl w:val="9"/>
        <w:rPr>
          <w:rFonts w:hint="eastAsia" w:ascii="黑体" w:hAnsi="黑体" w:eastAsia="黑体" w:cs="黑体"/>
          <w:b w:val="0"/>
          <w:bCs/>
          <w:snapToGrid w:val="0"/>
          <w:w w:val="95"/>
          <w:sz w:val="32"/>
          <w:szCs w:val="32"/>
          <w:lang w:eastAsia="zh-CN"/>
        </w:rPr>
      </w:pPr>
      <w:r>
        <w:rPr>
          <w:rFonts w:hint="eastAsia" w:ascii="黑体" w:hAnsi="黑体" w:eastAsia="黑体" w:cs="黑体"/>
          <w:b w:val="0"/>
          <w:bCs/>
          <w:snapToGrid w:val="0"/>
          <w:w w:val="95"/>
          <w:sz w:val="32"/>
          <w:szCs w:val="32"/>
        </w:rPr>
        <w:t>第二部分  察隅县</w:t>
      </w:r>
      <w:r>
        <w:rPr>
          <w:rFonts w:hint="eastAsia" w:ascii="黑体" w:hAnsi="黑体" w:eastAsia="黑体" w:cs="黑体"/>
          <w:b w:val="0"/>
          <w:bCs/>
          <w:snapToGrid w:val="0"/>
          <w:w w:val="95"/>
          <w:sz w:val="32"/>
          <w:szCs w:val="32"/>
          <w:lang w:eastAsia="zh-CN"/>
        </w:rPr>
        <w:t>语委办（部门）2023年</w:t>
      </w:r>
      <w:r>
        <w:rPr>
          <w:rFonts w:hint="eastAsia" w:ascii="黑体" w:hAnsi="黑体" w:eastAsia="黑体" w:cs="黑体"/>
          <w:b w:val="0"/>
          <w:bCs/>
          <w:snapToGrid w:val="0"/>
          <w:w w:val="95"/>
          <w:sz w:val="32"/>
          <w:szCs w:val="32"/>
        </w:rPr>
        <w:t>度部门预算明细表</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0" w:firstLineChars="0"/>
        <w:jc w:val="both"/>
        <w:textAlignment w:val="auto"/>
        <w:outlineLvl w:val="9"/>
        <w:rPr>
          <w:rFonts w:hint="eastAsia" w:ascii="仿宋_GB2312" w:hAnsi="宋体" w:eastAsia="仿宋_GB2312"/>
          <w:snapToGrid w:val="0"/>
          <w:w w:val="95"/>
          <w:sz w:val="32"/>
          <w:szCs w:val="32"/>
        </w:rPr>
      </w:pPr>
      <w:r>
        <w:rPr>
          <w:rFonts w:hint="eastAsia" w:ascii="仿宋_GB2312" w:hAnsi="宋体" w:eastAsia="仿宋_GB2312"/>
          <w:snapToGrid w:val="0"/>
          <w:w w:val="95"/>
          <w:sz w:val="32"/>
          <w:szCs w:val="32"/>
        </w:rPr>
        <w:t>一、部门收支总体情况表</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0" w:firstLineChars="0"/>
        <w:jc w:val="both"/>
        <w:textAlignment w:val="auto"/>
        <w:outlineLvl w:val="9"/>
        <w:rPr>
          <w:rFonts w:hint="eastAsia" w:ascii="仿宋_GB2312" w:hAnsi="宋体" w:eastAsia="仿宋_GB2312"/>
          <w:snapToGrid w:val="0"/>
          <w:w w:val="95"/>
          <w:sz w:val="32"/>
          <w:szCs w:val="32"/>
        </w:rPr>
      </w:pPr>
      <w:r>
        <w:rPr>
          <w:rFonts w:hint="eastAsia" w:ascii="仿宋_GB2312" w:hAnsi="宋体" w:eastAsia="仿宋_GB2312"/>
          <w:snapToGrid w:val="0"/>
          <w:w w:val="95"/>
          <w:sz w:val="32"/>
          <w:szCs w:val="32"/>
        </w:rPr>
        <w:t>二、部门收入总体情况表</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0" w:firstLineChars="0"/>
        <w:jc w:val="both"/>
        <w:textAlignment w:val="auto"/>
        <w:outlineLvl w:val="9"/>
        <w:rPr>
          <w:rFonts w:hint="eastAsia" w:ascii="仿宋_GB2312" w:hAnsi="宋体" w:eastAsia="仿宋_GB2312"/>
          <w:snapToGrid w:val="0"/>
          <w:w w:val="95"/>
          <w:sz w:val="32"/>
          <w:szCs w:val="32"/>
        </w:rPr>
      </w:pPr>
      <w:r>
        <w:rPr>
          <w:rFonts w:hint="eastAsia" w:ascii="仿宋_GB2312" w:hAnsi="宋体" w:eastAsia="仿宋_GB2312"/>
          <w:snapToGrid w:val="0"/>
          <w:w w:val="95"/>
          <w:sz w:val="32"/>
          <w:szCs w:val="32"/>
        </w:rPr>
        <w:t>三、部门支出总体情况表</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0" w:firstLineChars="0"/>
        <w:jc w:val="both"/>
        <w:textAlignment w:val="auto"/>
        <w:outlineLvl w:val="9"/>
        <w:rPr>
          <w:rFonts w:hint="eastAsia" w:ascii="仿宋_GB2312" w:hAnsi="宋体" w:eastAsia="仿宋_GB2312"/>
          <w:snapToGrid w:val="0"/>
          <w:w w:val="95"/>
          <w:sz w:val="32"/>
          <w:szCs w:val="32"/>
        </w:rPr>
      </w:pPr>
      <w:r>
        <w:rPr>
          <w:rFonts w:hint="eastAsia" w:ascii="仿宋_GB2312" w:hAnsi="宋体" w:eastAsia="仿宋_GB2312"/>
          <w:snapToGrid w:val="0"/>
          <w:w w:val="95"/>
          <w:sz w:val="32"/>
          <w:szCs w:val="32"/>
        </w:rPr>
        <w:t>四、财政拨款收支总体情况表</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0" w:firstLineChars="0"/>
        <w:jc w:val="both"/>
        <w:textAlignment w:val="auto"/>
        <w:outlineLvl w:val="9"/>
        <w:rPr>
          <w:rFonts w:hint="eastAsia" w:ascii="仿宋_GB2312" w:hAnsi="宋体" w:eastAsia="仿宋_GB2312"/>
          <w:snapToGrid w:val="0"/>
          <w:w w:val="95"/>
          <w:sz w:val="32"/>
          <w:szCs w:val="32"/>
        </w:rPr>
      </w:pPr>
      <w:r>
        <w:rPr>
          <w:rFonts w:hint="eastAsia" w:ascii="仿宋_GB2312" w:hAnsi="宋体" w:eastAsia="仿宋_GB2312"/>
          <w:snapToGrid w:val="0"/>
          <w:w w:val="95"/>
          <w:sz w:val="32"/>
          <w:szCs w:val="32"/>
        </w:rPr>
        <w:t>五、一般公共预算支出情况表（按功能分类</w:t>
      </w:r>
      <w:r>
        <w:rPr>
          <w:rFonts w:hint="eastAsia" w:ascii="仿宋_GB2312" w:hAnsi="宋体" w:eastAsia="仿宋_GB2312"/>
          <w:snapToGrid w:val="0"/>
          <w:w w:val="95"/>
          <w:sz w:val="32"/>
          <w:szCs w:val="32"/>
          <w:lang w:eastAsia="zh-CN"/>
        </w:rPr>
        <w:t>项级</w:t>
      </w:r>
      <w:r>
        <w:rPr>
          <w:rFonts w:hint="eastAsia" w:ascii="仿宋_GB2312" w:hAnsi="宋体" w:eastAsia="仿宋_GB2312"/>
          <w:snapToGrid w:val="0"/>
          <w:w w:val="95"/>
          <w:sz w:val="32"/>
          <w:szCs w:val="32"/>
        </w:rPr>
        <w:t>科目）</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0" w:firstLineChars="0"/>
        <w:jc w:val="both"/>
        <w:textAlignment w:val="auto"/>
        <w:outlineLvl w:val="9"/>
        <w:rPr>
          <w:rFonts w:hint="eastAsia" w:ascii="仿宋_GB2312" w:hAnsi="宋体" w:eastAsia="仿宋_GB2312"/>
          <w:snapToGrid w:val="0"/>
          <w:w w:val="95"/>
          <w:sz w:val="32"/>
          <w:szCs w:val="32"/>
        </w:rPr>
      </w:pPr>
      <w:r>
        <w:rPr>
          <w:rFonts w:hint="eastAsia" w:ascii="仿宋_GB2312" w:hAnsi="宋体" w:eastAsia="仿宋_GB2312"/>
          <w:snapToGrid w:val="0"/>
          <w:w w:val="95"/>
          <w:sz w:val="32"/>
          <w:szCs w:val="32"/>
        </w:rPr>
        <w:t>六、一般公共预算基本支出情况表（按经济分类款级科目）</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0" w:firstLineChars="0"/>
        <w:jc w:val="both"/>
        <w:textAlignment w:val="auto"/>
        <w:outlineLvl w:val="9"/>
        <w:rPr>
          <w:rFonts w:hint="eastAsia" w:ascii="仿宋_GB2312" w:hAnsi="宋体" w:eastAsia="仿宋_GB2312"/>
          <w:snapToGrid w:val="0"/>
          <w:w w:val="95"/>
          <w:sz w:val="32"/>
          <w:szCs w:val="32"/>
        </w:rPr>
      </w:pPr>
      <w:r>
        <w:rPr>
          <w:rFonts w:hint="eastAsia" w:ascii="仿宋_GB2312" w:hAnsi="宋体" w:eastAsia="仿宋_GB2312"/>
          <w:snapToGrid w:val="0"/>
          <w:w w:val="95"/>
          <w:sz w:val="32"/>
          <w:szCs w:val="32"/>
        </w:rPr>
        <w:t>七、一般公共预算“三公”经费支出情况表</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0" w:firstLineChars="0"/>
        <w:jc w:val="both"/>
        <w:textAlignment w:val="auto"/>
        <w:outlineLvl w:val="9"/>
        <w:rPr>
          <w:rFonts w:hint="eastAsia" w:ascii="仿宋_GB2312" w:hAnsi="宋体" w:eastAsia="仿宋_GB2312"/>
          <w:snapToGrid w:val="0"/>
          <w:w w:val="95"/>
          <w:sz w:val="32"/>
          <w:szCs w:val="32"/>
        </w:rPr>
      </w:pPr>
      <w:r>
        <w:rPr>
          <w:rFonts w:hint="eastAsia" w:ascii="仿宋_GB2312" w:hAnsi="宋体" w:eastAsia="仿宋_GB2312"/>
          <w:snapToGrid w:val="0"/>
          <w:w w:val="95"/>
          <w:sz w:val="32"/>
          <w:szCs w:val="32"/>
        </w:rPr>
        <w:t>八、政府性基金“三公”经费支出情况表</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0" w:firstLineChars="0"/>
        <w:jc w:val="both"/>
        <w:textAlignment w:val="auto"/>
        <w:outlineLvl w:val="9"/>
        <w:rPr>
          <w:rFonts w:hint="eastAsia" w:ascii="仿宋_GB2312" w:hAnsi="宋体" w:eastAsia="仿宋_GB2312"/>
          <w:snapToGrid w:val="0"/>
          <w:w w:val="95"/>
          <w:sz w:val="32"/>
          <w:szCs w:val="32"/>
        </w:rPr>
      </w:pPr>
      <w:r>
        <w:rPr>
          <w:rFonts w:hint="eastAsia" w:ascii="仿宋_GB2312" w:hAnsi="宋体" w:eastAsia="仿宋_GB2312"/>
          <w:snapToGrid w:val="0"/>
          <w:w w:val="95"/>
          <w:sz w:val="32"/>
          <w:szCs w:val="32"/>
        </w:rPr>
        <w:t>九、政府性基金预算支出情况表</w:t>
      </w:r>
    </w:p>
    <w:p>
      <w:pPr>
        <w:keepNext w:val="0"/>
        <w:keepLines w:val="0"/>
        <w:pageBreakBefore w:val="0"/>
        <w:widowControl/>
        <w:kinsoku/>
        <w:wordWrap/>
        <w:overflowPunct/>
        <w:topLinePunct w:val="0"/>
        <w:autoSpaceDE/>
        <w:autoSpaceDN/>
        <w:bidi w:val="0"/>
        <w:adjustRightInd w:val="0"/>
        <w:snapToGrid w:val="0"/>
        <w:spacing w:after="0" w:line="560" w:lineRule="exact"/>
        <w:ind w:firstLine="0" w:firstLineChars="0"/>
        <w:jc w:val="both"/>
        <w:textAlignment w:val="auto"/>
        <w:rPr>
          <w:rFonts w:ascii="仿宋_GB2312" w:hAnsi="宋体" w:eastAsia="仿宋_GB2312"/>
          <w:snapToGrid w:val="0"/>
          <w:w w:val="95"/>
          <w:sz w:val="32"/>
          <w:szCs w:val="32"/>
        </w:rPr>
      </w:pPr>
      <w:r>
        <w:rPr>
          <w:rFonts w:hint="eastAsia" w:ascii="仿宋_GB2312" w:hAnsi="宋体" w:eastAsia="仿宋_GB2312"/>
          <w:snapToGrid w:val="0"/>
          <w:w w:val="95"/>
          <w:sz w:val="32"/>
          <w:szCs w:val="32"/>
        </w:rPr>
        <w:t>十、项目支出绩效信息表</w:t>
      </w:r>
    </w:p>
    <w:p>
      <w:pPr>
        <w:keepNext w:val="0"/>
        <w:keepLines w:val="0"/>
        <w:pageBreakBefore w:val="0"/>
        <w:widowControl/>
        <w:kinsoku/>
        <w:wordWrap/>
        <w:overflowPunct/>
        <w:topLinePunct w:val="0"/>
        <w:autoSpaceDE/>
        <w:autoSpaceDN/>
        <w:bidi w:val="0"/>
        <w:adjustRightInd w:val="0"/>
        <w:snapToGrid w:val="0"/>
        <w:spacing w:after="0" w:line="560" w:lineRule="exact"/>
        <w:ind w:firstLine="0" w:firstLineChars="0"/>
        <w:jc w:val="both"/>
        <w:textAlignment w:val="auto"/>
        <w:rPr>
          <w:rFonts w:ascii="仿宋_GB2312" w:hAnsi="宋体" w:eastAsia="仿宋_GB2312"/>
          <w:snapToGrid w:val="0"/>
          <w:w w:val="95"/>
          <w:sz w:val="32"/>
          <w:szCs w:val="32"/>
        </w:rPr>
      </w:pPr>
      <w:r>
        <w:rPr>
          <w:rFonts w:hint="eastAsia" w:ascii="仿宋_GB2312" w:hAnsi="宋体" w:eastAsia="仿宋_GB2312"/>
          <w:snapToGrid w:val="0"/>
          <w:w w:val="95"/>
          <w:sz w:val="32"/>
          <w:szCs w:val="32"/>
        </w:rPr>
        <w:t>十一、政府购买服务预算表</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0" w:firstLineChars="0"/>
        <w:jc w:val="both"/>
        <w:textAlignment w:val="auto"/>
        <w:outlineLvl w:val="9"/>
        <w:rPr>
          <w:rFonts w:hint="eastAsia" w:ascii="黑体" w:hAnsi="黑体" w:eastAsia="黑体" w:cs="黑体"/>
          <w:b w:val="0"/>
          <w:bCs/>
          <w:snapToGrid w:val="0"/>
          <w:w w:val="95"/>
          <w:sz w:val="32"/>
          <w:szCs w:val="32"/>
        </w:rPr>
      </w:pPr>
      <w:r>
        <w:rPr>
          <w:rFonts w:hint="eastAsia" w:ascii="黑体" w:hAnsi="黑体" w:eastAsia="黑体" w:cs="黑体"/>
          <w:b w:val="0"/>
          <w:bCs/>
          <w:snapToGrid w:val="0"/>
          <w:w w:val="95"/>
          <w:sz w:val="32"/>
          <w:szCs w:val="32"/>
        </w:rPr>
        <w:t>第三部分  察隅县</w:t>
      </w:r>
      <w:r>
        <w:rPr>
          <w:rFonts w:hint="eastAsia" w:ascii="黑体" w:hAnsi="黑体" w:eastAsia="黑体" w:cs="黑体"/>
          <w:b w:val="0"/>
          <w:bCs/>
          <w:snapToGrid w:val="0"/>
          <w:w w:val="95"/>
          <w:sz w:val="32"/>
          <w:szCs w:val="32"/>
          <w:lang w:eastAsia="zh-CN"/>
        </w:rPr>
        <w:t>语委办（部门）2023年</w:t>
      </w:r>
      <w:r>
        <w:rPr>
          <w:rFonts w:hint="eastAsia" w:ascii="黑体" w:hAnsi="黑体" w:eastAsia="黑体" w:cs="黑体"/>
          <w:b w:val="0"/>
          <w:bCs/>
          <w:snapToGrid w:val="0"/>
          <w:w w:val="95"/>
          <w:sz w:val="32"/>
          <w:szCs w:val="32"/>
        </w:rPr>
        <w:t>度部门预算数据分析</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0" w:firstLineChars="0"/>
        <w:jc w:val="both"/>
        <w:textAlignment w:val="auto"/>
        <w:outlineLvl w:val="9"/>
        <w:rPr>
          <w:rFonts w:hint="eastAsia" w:ascii="黑体" w:hAnsi="黑体" w:eastAsia="黑体" w:cs="黑体"/>
          <w:b w:val="0"/>
          <w:bCs/>
          <w:snapToGrid w:val="0"/>
          <w:w w:val="95"/>
          <w:sz w:val="32"/>
          <w:szCs w:val="32"/>
        </w:rPr>
      </w:pPr>
      <w:r>
        <w:rPr>
          <w:rFonts w:hint="eastAsia" w:ascii="黑体" w:hAnsi="黑体" w:eastAsia="黑体" w:cs="黑体"/>
          <w:b w:val="0"/>
          <w:bCs/>
          <w:snapToGrid w:val="0"/>
          <w:w w:val="95"/>
          <w:sz w:val="32"/>
          <w:szCs w:val="32"/>
        </w:rPr>
        <w:t>第四部分  名词解释</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仿宋_GB2312" w:hAnsi="仿宋_GB2312" w:eastAsia="仿宋_GB2312" w:cs="仿宋_GB2312"/>
          <w:b w:val="0"/>
          <w:bCs/>
          <w:snapToGrid w:val="0"/>
          <w:w w:val="95"/>
          <w:sz w:val="32"/>
          <w:szCs w:val="32"/>
          <w:lang w:eastAsia="zh-CN"/>
        </w:rPr>
      </w:pPr>
      <w:r>
        <w:rPr>
          <w:rFonts w:hint="eastAsia" w:ascii="仿宋_GB2312" w:hAnsi="仿宋_GB2312" w:eastAsia="仿宋_GB2312" w:cs="仿宋_GB2312"/>
          <w:b w:val="0"/>
          <w:bCs/>
          <w:snapToGrid w:val="0"/>
          <w:w w:val="95"/>
          <w:sz w:val="32"/>
          <w:szCs w:val="32"/>
          <w:lang w:eastAsia="zh-CN"/>
        </w:rPr>
        <w:t>附件：</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jc w:val="both"/>
        <w:textAlignment w:val="auto"/>
        <w:rPr>
          <w:rFonts w:hint="eastAsia" w:ascii="仿宋_GB2312" w:hAnsi="宋体" w:eastAsia="仿宋_GB2312"/>
          <w:snapToGrid w:val="0"/>
          <w:w w:val="95"/>
          <w:sz w:val="32"/>
          <w:szCs w:val="32"/>
          <w:lang w:eastAsia="zh-CN"/>
        </w:rPr>
      </w:pPr>
      <w:r>
        <w:rPr>
          <w:rFonts w:hint="eastAsia" w:ascii="仿宋_GB2312" w:hAnsi="宋体" w:eastAsia="仿宋_GB2312"/>
          <w:snapToGrid w:val="0"/>
          <w:w w:val="95"/>
          <w:sz w:val="32"/>
          <w:szCs w:val="32"/>
        </w:rPr>
        <w:t>察隅县</w:t>
      </w:r>
      <w:r>
        <w:rPr>
          <w:rFonts w:hint="eastAsia" w:ascii="仿宋_GB2312" w:hAnsi="宋体" w:eastAsia="仿宋_GB2312"/>
          <w:snapToGrid w:val="0"/>
          <w:w w:val="95"/>
          <w:sz w:val="32"/>
          <w:szCs w:val="32"/>
          <w:lang w:eastAsia="zh-CN"/>
        </w:rPr>
        <w:t>语委办（部门）2023年</w:t>
      </w:r>
      <w:r>
        <w:rPr>
          <w:rFonts w:hint="eastAsia" w:ascii="仿宋_GB2312" w:hAnsi="宋体" w:eastAsia="仿宋_GB2312"/>
          <w:snapToGrid w:val="0"/>
          <w:w w:val="95"/>
          <w:sz w:val="32"/>
          <w:szCs w:val="32"/>
        </w:rPr>
        <w:t>度部门预算明细表</w:t>
      </w:r>
      <w:r>
        <w:rPr>
          <w:rFonts w:hint="eastAsia" w:ascii="仿宋_GB2312" w:hAnsi="宋体" w:eastAsia="仿宋_GB2312"/>
          <w:snapToGrid w:val="0"/>
          <w:w w:val="95"/>
          <w:sz w:val="32"/>
          <w:szCs w:val="32"/>
          <w:lang w:eastAsia="zh-CN"/>
        </w:rPr>
        <w:t>（含</w:t>
      </w:r>
      <w:r>
        <w:rPr>
          <w:rFonts w:hint="eastAsia" w:ascii="仿宋_GB2312" w:hAnsi="宋体" w:eastAsia="仿宋_GB2312"/>
          <w:snapToGrid w:val="0"/>
          <w:w w:val="95"/>
          <w:sz w:val="32"/>
          <w:szCs w:val="32"/>
          <w:lang w:val="en-US" w:eastAsia="zh-CN"/>
        </w:rPr>
        <w:t>十一张表</w:t>
      </w:r>
      <w:r>
        <w:rPr>
          <w:rFonts w:hint="eastAsia" w:ascii="仿宋_GB2312" w:hAnsi="宋体" w:eastAsia="仿宋_GB2312"/>
          <w:snapToGrid w:val="0"/>
          <w:w w:val="95"/>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line="560" w:lineRule="exact"/>
        <w:jc w:val="both"/>
        <w:textAlignment w:val="auto"/>
        <w:rPr>
          <w:rFonts w:ascii="宋体" w:hAnsi="宋体"/>
          <w:b/>
          <w:snapToGrid w:val="0"/>
          <w:w w:val="95"/>
          <w:sz w:val="44"/>
          <w:szCs w:val="44"/>
        </w:rPr>
      </w:pPr>
    </w:p>
    <w:p>
      <w:pPr>
        <w:keepNext w:val="0"/>
        <w:keepLines w:val="0"/>
        <w:pageBreakBefore w:val="0"/>
        <w:widowControl/>
        <w:kinsoku/>
        <w:wordWrap/>
        <w:overflowPunct/>
        <w:topLinePunct w:val="0"/>
        <w:autoSpaceDE/>
        <w:autoSpaceDN/>
        <w:bidi w:val="0"/>
        <w:adjustRightInd w:val="0"/>
        <w:snapToGrid w:val="0"/>
        <w:spacing w:line="560" w:lineRule="exact"/>
        <w:jc w:val="both"/>
        <w:textAlignment w:val="auto"/>
        <w:rPr>
          <w:rFonts w:hint="eastAsia" w:ascii="黑体" w:hAnsi="黑体" w:eastAsia="黑体"/>
          <w:b/>
          <w:snapToGrid w:val="0"/>
          <w:w w:val="95"/>
          <w:sz w:val="44"/>
          <w:szCs w:val="44"/>
        </w:rPr>
      </w:pPr>
    </w:p>
    <w:p>
      <w:pPr>
        <w:spacing w:line="640" w:lineRule="exact"/>
        <w:jc w:val="both"/>
        <w:rPr>
          <w:rFonts w:hint="eastAsia" w:ascii="方正小标宋简体" w:hAnsi="方正小标宋简体" w:eastAsia="方正小标宋简体" w:cs="方正小标宋简体"/>
          <w:b w:val="0"/>
          <w:bCs/>
          <w:sz w:val="44"/>
          <w:szCs w:val="44"/>
        </w:rPr>
        <w:sectPr>
          <w:headerReference r:id="rId3" w:type="default"/>
          <w:pgSz w:w="11906" w:h="16838"/>
          <w:pgMar w:top="1440" w:right="1800" w:bottom="1440" w:left="1800" w:header="708" w:footer="708" w:gutter="0"/>
          <w:pgNumType w:fmt="decimal"/>
          <w:cols w:space="708" w:num="1"/>
          <w:docGrid w:linePitch="360" w:charSpace="0"/>
        </w:sectPr>
      </w:pP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第一部分</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rPr>
        <w:t>察隅县</w:t>
      </w:r>
      <w:r>
        <w:rPr>
          <w:rFonts w:hint="eastAsia" w:ascii="方正小标宋简体" w:hAnsi="方正小标宋简体" w:eastAsia="方正小标宋简体" w:cs="方正小标宋简体"/>
          <w:b w:val="0"/>
          <w:bCs/>
          <w:sz w:val="44"/>
          <w:szCs w:val="44"/>
          <w:lang w:eastAsia="zh-CN"/>
        </w:rPr>
        <w:t>语委办</w:t>
      </w:r>
      <w:r>
        <w:rPr>
          <w:rFonts w:hint="eastAsia" w:ascii="方正小标宋简体" w:hAnsi="方正小标宋简体" w:eastAsia="方正小标宋简体" w:cs="方正小标宋简体"/>
          <w:b w:val="0"/>
          <w:bCs/>
          <w:sz w:val="44"/>
          <w:szCs w:val="44"/>
        </w:rPr>
        <w:t>概况</w:t>
      </w:r>
    </w:p>
    <w:p>
      <w:pPr>
        <w:spacing w:after="0" w:line="560" w:lineRule="exact"/>
        <w:ind w:firstLine="640" w:firstLineChars="200"/>
        <w:rPr>
          <w:rFonts w:hint="eastAsia" w:ascii="黑体" w:hAnsi="黑体" w:eastAsia="黑体"/>
          <w:sz w:val="32"/>
          <w:szCs w:val="32"/>
        </w:rPr>
      </w:pPr>
    </w:p>
    <w:p>
      <w:pPr>
        <w:spacing w:after="0" w:line="560" w:lineRule="exact"/>
        <w:ind w:firstLine="640" w:firstLineChars="200"/>
        <w:rPr>
          <w:rFonts w:hint="eastAsia" w:ascii="黑体" w:hAnsi="黑体" w:eastAsia="黑体"/>
          <w:sz w:val="32"/>
          <w:szCs w:val="32"/>
        </w:rPr>
      </w:pPr>
      <w:r>
        <w:rPr>
          <w:rFonts w:hint="eastAsia" w:ascii="黑体" w:hAnsi="黑体" w:eastAsia="黑体"/>
          <w:sz w:val="32"/>
          <w:szCs w:val="32"/>
        </w:rPr>
        <w:t>一、主要职能</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eastAsia="zh-CN"/>
        </w:rPr>
        <w:t>（一）</w:t>
      </w:r>
      <w:r>
        <w:rPr>
          <w:rFonts w:hint="eastAsia" w:ascii="仿宋_GB2312" w:eastAsia="仿宋_GB2312"/>
          <w:sz w:val="32"/>
          <w:szCs w:val="32"/>
        </w:rPr>
        <w:t>宣传、贯彻、执行党和国家新时期民族语文方针政策，承担县藏语文工作委员会的日常工作；</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eastAsia="zh-CN"/>
        </w:rPr>
        <w:t>（二）</w:t>
      </w:r>
      <w:r>
        <w:rPr>
          <w:rFonts w:hint="eastAsia" w:ascii="仿宋_GB2312" w:eastAsia="仿宋_GB2312"/>
          <w:sz w:val="32"/>
          <w:szCs w:val="32"/>
        </w:rPr>
        <w:t>监督实施学习、使用和发展藏语文工作的地方性法规、条例、办法和重大方针政策，监督检查全县学习、使用和发展藏语言文字工作；</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eastAsia="zh-CN"/>
        </w:rPr>
        <w:t>（三）</w:t>
      </w:r>
      <w:r>
        <w:rPr>
          <w:rFonts w:hint="eastAsia" w:ascii="仿宋_GB2312" w:eastAsia="仿宋_GB2312"/>
          <w:sz w:val="32"/>
          <w:szCs w:val="32"/>
        </w:rPr>
        <w:t>负责审定藏语言文字的规范，负责指导藏语文软件推广应用工作；</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eastAsia="zh-CN"/>
        </w:rPr>
        <w:t>（四）</w:t>
      </w:r>
      <w:r>
        <w:rPr>
          <w:rFonts w:hint="eastAsia" w:ascii="仿宋_GB2312" w:eastAsia="仿宋_GB2312"/>
          <w:sz w:val="32"/>
          <w:szCs w:val="32"/>
        </w:rPr>
        <w:t>组织、开展藏语言文字以及翻译工作的理论研究；管理、监督全县社会使用藏语言文字的规范化工作；</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eastAsia="zh-CN"/>
        </w:rPr>
        <w:t>（五）</w:t>
      </w:r>
      <w:r>
        <w:rPr>
          <w:rFonts w:hint="eastAsia" w:ascii="仿宋_GB2312" w:eastAsia="仿宋_GB2312"/>
          <w:sz w:val="32"/>
          <w:szCs w:val="32"/>
        </w:rPr>
        <w:t>承担县委、县政府交办的重要文件、材料、法律法规的藏语文翻译工作；</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eastAsia="zh-CN"/>
        </w:rPr>
        <w:t>（六）</w:t>
      </w:r>
      <w:r>
        <w:rPr>
          <w:rFonts w:hint="eastAsia" w:ascii="仿宋_GB2312" w:eastAsia="仿宋_GB2312"/>
          <w:sz w:val="32"/>
          <w:szCs w:val="32"/>
        </w:rPr>
        <w:t>指导全县藏语文翻译业务，负责全县各类重要文件和群众来信来访等翻译工作。负责藏语言文字社会规范用语的推广宣传使用工作；</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eastAsia="zh-CN"/>
        </w:rPr>
        <w:t>（七）</w:t>
      </w:r>
      <w:r>
        <w:rPr>
          <w:rFonts w:hint="eastAsia" w:ascii="仿宋_GB2312" w:eastAsia="仿宋_GB2312"/>
          <w:sz w:val="32"/>
          <w:szCs w:val="32"/>
        </w:rPr>
        <w:t>负责承担县委、人大、政府、政协上报下达的各类文件的翻译工作和县委、县政府转发的中央、国务院、区、地党委、政府有关材料及文件的翻译工作;负责县领导讲话、大型会议材料的翻译工作；</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eastAsia="zh-CN"/>
        </w:rPr>
        <w:t>（八）</w:t>
      </w:r>
      <w:r>
        <w:rPr>
          <w:rFonts w:hint="eastAsia" w:ascii="仿宋_GB2312" w:eastAsia="仿宋_GB2312"/>
          <w:sz w:val="32"/>
          <w:szCs w:val="32"/>
        </w:rPr>
        <w:t>负责县人大、县政府颁布的各项法规条例、群众来信来访等翻译工作；</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eastAsia="zh-CN"/>
        </w:rPr>
        <w:t>（九）</w:t>
      </w:r>
      <w:r>
        <w:rPr>
          <w:rFonts w:hint="eastAsia" w:ascii="仿宋_GB2312" w:eastAsia="仿宋_GB2312"/>
          <w:sz w:val="32"/>
          <w:szCs w:val="32"/>
        </w:rPr>
        <w:t>负责县领导下基层、外出调查时的口头翻译工作；负责督促、检查并指导全县学习、使用和发展藏语文工作情况；</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eastAsia="zh-CN"/>
        </w:rPr>
        <w:t>（十）</w:t>
      </w:r>
      <w:r>
        <w:rPr>
          <w:rFonts w:hint="eastAsia" w:ascii="仿宋_GB2312" w:eastAsia="仿宋_GB2312"/>
          <w:sz w:val="32"/>
          <w:szCs w:val="32"/>
        </w:rPr>
        <w:t>负责指导和监督检查全县学习、使用和发展藏语言文字规范化工作，与宣传部门配合做好两种文字并重的宣传工作；</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承办县政府办交办和地区编译局委托的其他事项。</w:t>
      </w:r>
    </w:p>
    <w:p>
      <w:pPr>
        <w:spacing w:after="0" w:line="560" w:lineRule="exact"/>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二</w:t>
      </w:r>
      <w:r>
        <w:rPr>
          <w:rFonts w:hint="eastAsia" w:ascii="黑体" w:hAnsi="黑体" w:eastAsia="黑体"/>
          <w:sz w:val="32"/>
          <w:szCs w:val="32"/>
        </w:rPr>
        <w:t>、部门预算单位构成</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宋体" w:eastAsia="仿宋_GB2312"/>
          <w:sz w:val="32"/>
          <w:szCs w:val="32"/>
          <w:highlight w:val="none"/>
          <w:lang w:eastAsia="zh-CN"/>
        </w:rPr>
      </w:pPr>
      <w:r>
        <w:rPr>
          <w:rFonts w:hint="eastAsia" w:ascii="仿宋_GB2312" w:hAnsi="黑体" w:eastAsia="仿宋_GB2312"/>
          <w:snapToGrid w:val="0"/>
          <w:w w:val="95"/>
          <w:sz w:val="32"/>
          <w:szCs w:val="32"/>
          <w:lang w:val="en-US" w:eastAsia="zh-CN"/>
        </w:rPr>
        <w:t>藏语委办（编译局）为全额拨款事业单位，正科级建制。</w:t>
      </w:r>
      <w:bookmarkStart w:id="0" w:name="_GoBack"/>
      <w:bookmarkEnd w:id="0"/>
    </w:p>
    <w:p>
      <w:pPr>
        <w:keepNext w:val="0"/>
        <w:keepLines w:val="0"/>
        <w:pageBreakBefore w:val="0"/>
        <w:widowControl/>
        <w:kinsoku/>
        <w:wordWrap/>
        <w:overflowPunct/>
        <w:topLinePunct w:val="0"/>
        <w:autoSpaceDE/>
        <w:autoSpaceDN/>
        <w:bidi w:val="0"/>
        <w:adjustRightInd w:val="0"/>
        <w:snapToGrid w:val="0"/>
        <w:spacing w:after="0" w:line="560" w:lineRule="atLeast"/>
        <w:ind w:firstLine="640" w:firstLineChars="200"/>
        <w:jc w:val="both"/>
        <w:textAlignment w:val="auto"/>
        <w:rPr>
          <w:rFonts w:hint="eastAsia" w:ascii="仿宋_GB2312" w:hAnsi="宋体" w:eastAsia="仿宋_GB2312"/>
          <w:sz w:val="32"/>
          <w:szCs w:val="32"/>
          <w:highlight w:val="yellow"/>
        </w:rPr>
      </w:pPr>
    </w:p>
    <w:p>
      <w:pPr>
        <w:keepNext w:val="0"/>
        <w:keepLines w:val="0"/>
        <w:pageBreakBefore w:val="0"/>
        <w:widowControl/>
        <w:kinsoku/>
        <w:wordWrap/>
        <w:overflowPunct/>
        <w:topLinePunct w:val="0"/>
        <w:autoSpaceDE/>
        <w:autoSpaceDN/>
        <w:bidi w:val="0"/>
        <w:adjustRightInd w:val="0"/>
        <w:snapToGrid w:val="0"/>
        <w:spacing w:after="0" w:line="560" w:lineRule="atLeas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第二部分</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rPr>
        <w:t>察隅县语委办</w:t>
      </w:r>
      <w:r>
        <w:rPr>
          <w:rFonts w:hint="eastAsia" w:ascii="方正小标宋简体" w:hAnsi="方正小标宋简体" w:eastAsia="方正小标宋简体" w:cs="方正小标宋简体"/>
          <w:b w:val="0"/>
          <w:bCs/>
          <w:sz w:val="44"/>
          <w:szCs w:val="44"/>
          <w:lang w:eastAsia="zh-CN"/>
        </w:rPr>
        <w:t>2023年</w:t>
      </w:r>
      <w:r>
        <w:rPr>
          <w:rFonts w:hint="eastAsia" w:ascii="方正小标宋简体" w:hAnsi="方正小标宋简体" w:eastAsia="方正小标宋简体" w:cs="方正小标宋简体"/>
          <w:b w:val="0"/>
          <w:bCs/>
          <w:sz w:val="44"/>
          <w:szCs w:val="44"/>
        </w:rPr>
        <w:t>度部门预算明细表（</w:t>
      </w:r>
      <w:r>
        <w:rPr>
          <w:rFonts w:hint="eastAsia" w:ascii="方正小标宋简体" w:hAnsi="方正小标宋简体" w:eastAsia="方正小标宋简体" w:cs="方正小标宋简体"/>
          <w:b w:val="0"/>
          <w:bCs/>
          <w:sz w:val="44"/>
          <w:szCs w:val="44"/>
          <w:lang w:eastAsia="zh-CN"/>
        </w:rPr>
        <w:t>表格</w:t>
      </w:r>
      <w:r>
        <w:rPr>
          <w:rFonts w:hint="eastAsia" w:ascii="方正小标宋简体" w:hAnsi="方正小标宋简体" w:eastAsia="方正小标宋简体" w:cs="方正小标宋简体"/>
          <w:b w:val="0"/>
          <w:bCs/>
          <w:sz w:val="44"/>
          <w:szCs w:val="44"/>
        </w:rPr>
        <w:t>详见附件）</w:t>
      </w:r>
    </w:p>
    <w:p>
      <w:pPr>
        <w:keepNext w:val="0"/>
        <w:keepLines w:val="0"/>
        <w:pageBreakBefore w:val="0"/>
        <w:widowControl/>
        <w:kinsoku/>
        <w:wordWrap/>
        <w:overflowPunct/>
        <w:topLinePunct w:val="0"/>
        <w:autoSpaceDE/>
        <w:autoSpaceDN/>
        <w:bidi w:val="0"/>
        <w:adjustRightInd w:val="0"/>
        <w:snapToGrid w:val="0"/>
        <w:spacing w:after="0" w:line="560" w:lineRule="atLeast"/>
        <w:jc w:val="center"/>
        <w:textAlignment w:val="auto"/>
        <w:rPr>
          <w:rFonts w:hint="eastAsia" w:ascii="黑体" w:hAnsi="黑体" w:eastAsia="黑体"/>
          <w:b/>
          <w:snapToGrid w:val="0"/>
          <w:w w:val="95"/>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atLeas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第三部分</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rPr>
        <w:t>察隅县语委办</w:t>
      </w:r>
      <w:r>
        <w:rPr>
          <w:rFonts w:hint="eastAsia" w:ascii="方正小标宋简体" w:hAnsi="方正小标宋简体" w:eastAsia="方正小标宋简体" w:cs="方正小标宋简体"/>
          <w:b w:val="0"/>
          <w:bCs/>
          <w:sz w:val="44"/>
          <w:szCs w:val="44"/>
          <w:lang w:eastAsia="zh-CN"/>
        </w:rPr>
        <w:t>2023年</w:t>
      </w:r>
      <w:r>
        <w:rPr>
          <w:rFonts w:hint="eastAsia" w:ascii="方正小标宋简体" w:hAnsi="方正小标宋简体" w:eastAsia="方正小标宋简体" w:cs="方正小标宋简体"/>
          <w:b w:val="0"/>
          <w:bCs/>
          <w:sz w:val="44"/>
          <w:szCs w:val="44"/>
        </w:rPr>
        <w:t>度部门预算数据分析</w:t>
      </w:r>
    </w:p>
    <w:p>
      <w:pPr>
        <w:spacing w:after="0" w:line="560" w:lineRule="exact"/>
        <w:ind w:firstLine="640" w:firstLineChars="200"/>
        <w:rPr>
          <w:rFonts w:hint="eastAsia" w:ascii="黑体" w:hAnsi="黑体" w:eastAsia="黑体"/>
          <w:sz w:val="32"/>
          <w:szCs w:val="32"/>
        </w:rPr>
      </w:pPr>
    </w:p>
    <w:p>
      <w:pPr>
        <w:spacing w:after="0" w:line="560" w:lineRule="exact"/>
        <w:ind w:firstLine="640" w:firstLineChars="200"/>
        <w:rPr>
          <w:rFonts w:hint="eastAsia"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2023年</w:t>
      </w:r>
      <w:r>
        <w:rPr>
          <w:rFonts w:hint="eastAsia" w:ascii="黑体" w:hAnsi="黑体" w:eastAsia="黑体"/>
          <w:sz w:val="32"/>
          <w:szCs w:val="32"/>
        </w:rPr>
        <w:t>部门收支总表的说明</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黑体" w:eastAsia="仿宋_GB2312"/>
          <w:snapToGrid w:val="0"/>
          <w:w w:val="95"/>
          <w:sz w:val="32"/>
          <w:szCs w:val="32"/>
          <w:lang w:val="en-US" w:eastAsia="zh-CN"/>
        </w:rPr>
      </w:pPr>
      <w:r>
        <w:rPr>
          <w:rFonts w:hint="eastAsia" w:ascii="仿宋_GB2312" w:hAnsi="黑体" w:eastAsia="仿宋_GB2312"/>
          <w:snapToGrid w:val="0"/>
          <w:w w:val="95"/>
          <w:sz w:val="32"/>
          <w:szCs w:val="32"/>
          <w:lang w:val="en-US" w:eastAsia="zh-CN"/>
        </w:rPr>
        <w:t>2023年察隅县语委办部门预算总收入为95.47万元，全部为一般公共预算拨款收入，无上年结转。总支出为95.47万元，其中：一般公共服务支出74.53万元、社会保障和就业支出8.92万元、 卫生健康支出5.38万元、 住房保障支出6.64万元。收支平衡。</w:t>
      </w:r>
    </w:p>
    <w:p>
      <w:pPr>
        <w:spacing w:after="0" w:line="560" w:lineRule="exact"/>
        <w:ind w:firstLine="640" w:firstLineChars="200"/>
        <w:rPr>
          <w:rFonts w:hint="eastAsia"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2023年</w:t>
      </w:r>
      <w:r>
        <w:rPr>
          <w:rFonts w:hint="eastAsia" w:ascii="黑体" w:hAnsi="黑体" w:eastAsia="黑体"/>
          <w:sz w:val="32"/>
          <w:szCs w:val="32"/>
        </w:rPr>
        <w:t>度部门收入总表的说明</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default" w:ascii="仿宋_GB2312" w:hAnsi="黑体" w:eastAsia="仿宋_GB2312"/>
          <w:snapToGrid w:val="0"/>
          <w:w w:val="95"/>
          <w:sz w:val="32"/>
          <w:szCs w:val="32"/>
          <w:lang w:val="en-US" w:eastAsia="zh-CN"/>
        </w:rPr>
      </w:pPr>
      <w:r>
        <w:rPr>
          <w:rFonts w:hint="eastAsia" w:ascii="仿宋_GB2312" w:hAnsi="黑体" w:eastAsia="仿宋_GB2312"/>
          <w:snapToGrid w:val="0"/>
          <w:w w:val="95"/>
          <w:sz w:val="32"/>
          <w:szCs w:val="32"/>
          <w:lang w:val="en-US" w:eastAsia="zh-CN"/>
        </w:rPr>
        <w:t>2023年总收入预算95.47万元，全部为一般公共预算拨款收入82.42万元，占总收入100.00%。总收入预算较2022年增长15.83%，主要原因为工资福利预算增加。</w:t>
      </w:r>
    </w:p>
    <w:p>
      <w:pPr>
        <w:spacing w:after="0" w:line="560" w:lineRule="exact"/>
        <w:ind w:firstLine="640" w:firstLineChars="200"/>
        <w:rPr>
          <w:rFonts w:hint="eastAsia"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2023年</w:t>
      </w:r>
      <w:r>
        <w:rPr>
          <w:rFonts w:hint="eastAsia" w:ascii="黑体" w:hAnsi="黑体" w:eastAsia="黑体"/>
          <w:sz w:val="32"/>
          <w:szCs w:val="32"/>
        </w:rPr>
        <w:t>部门支出总表的说明</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default" w:ascii="仿宋_GB2312" w:hAnsi="黑体" w:eastAsia="仿宋_GB2312"/>
          <w:snapToGrid w:val="0"/>
          <w:w w:val="95"/>
          <w:sz w:val="32"/>
          <w:szCs w:val="32"/>
          <w:lang w:val="en-US" w:eastAsia="zh-CN"/>
        </w:rPr>
      </w:pPr>
      <w:r>
        <w:rPr>
          <w:rFonts w:hint="eastAsia" w:ascii="仿宋_GB2312" w:hAnsi="黑体" w:eastAsia="仿宋_GB2312"/>
          <w:snapToGrid w:val="0"/>
          <w:w w:val="95"/>
          <w:sz w:val="32"/>
          <w:szCs w:val="32"/>
          <w:lang w:val="en-US" w:eastAsia="zh-CN"/>
        </w:rPr>
        <w:t>2023年总支出预算95.47万元，其中：基本支出93.47万元，占总支出97.91%，主要用于工资福利支出、商品和服务支出；项目支出2.00万元，占总支出2.09%,主要用于开展藏语文相关工作。总支出预算较2022年增长15.83%，主要原因为工资福利预算增加。</w:t>
      </w:r>
    </w:p>
    <w:p>
      <w:pPr>
        <w:spacing w:after="0" w:line="560" w:lineRule="exact"/>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2023年</w:t>
      </w:r>
      <w:r>
        <w:rPr>
          <w:rFonts w:hint="eastAsia" w:ascii="黑体" w:hAnsi="黑体" w:eastAsia="黑体"/>
          <w:sz w:val="32"/>
          <w:szCs w:val="32"/>
        </w:rPr>
        <w:t>财政拨款收支总表的说明</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default" w:ascii="仿宋_GB2312" w:hAnsi="黑体" w:eastAsia="仿宋_GB2312"/>
          <w:snapToGrid w:val="0"/>
          <w:w w:val="95"/>
          <w:sz w:val="32"/>
          <w:szCs w:val="32"/>
          <w:lang w:val="en-US" w:eastAsia="zh-CN"/>
        </w:rPr>
      </w:pPr>
      <w:r>
        <w:rPr>
          <w:rFonts w:hint="eastAsia" w:ascii="仿宋_GB2312" w:hAnsi="黑体" w:eastAsia="仿宋_GB2312"/>
          <w:snapToGrid w:val="0"/>
          <w:w w:val="95"/>
          <w:sz w:val="32"/>
          <w:szCs w:val="32"/>
          <w:lang w:val="en-US" w:eastAsia="zh-CN"/>
        </w:rPr>
        <w:t>2023年财政拨款收支总预算95.47万元。收入全部为一般公共预算资金收入，无上年结转；支出包括：一般公共服务支出74.53万元、社会保障和就业支出8.92万元、 卫生健康支出5.38万元、 住房保障支出6.64万元。</w:t>
      </w:r>
    </w:p>
    <w:p>
      <w:pPr>
        <w:spacing w:after="0" w:line="560" w:lineRule="exact"/>
        <w:ind w:firstLine="640" w:firstLineChars="200"/>
        <w:rPr>
          <w:rFonts w:hint="eastAsia" w:ascii="黑体" w:hAnsi="黑体" w:eastAsia="黑体"/>
          <w:sz w:val="32"/>
          <w:szCs w:val="32"/>
        </w:rPr>
      </w:pPr>
      <w:r>
        <w:rPr>
          <w:rFonts w:hint="eastAsia" w:ascii="黑体" w:hAnsi="黑体" w:eastAsia="黑体"/>
          <w:sz w:val="32"/>
          <w:szCs w:val="32"/>
        </w:rPr>
        <w:t>五、</w:t>
      </w:r>
      <w:r>
        <w:rPr>
          <w:rFonts w:hint="eastAsia" w:ascii="黑体" w:hAnsi="黑体" w:eastAsia="黑体"/>
          <w:sz w:val="32"/>
          <w:szCs w:val="32"/>
          <w:lang w:eastAsia="zh-CN"/>
        </w:rPr>
        <w:t>2023年</w:t>
      </w:r>
      <w:r>
        <w:rPr>
          <w:rFonts w:hint="eastAsia" w:ascii="黑体" w:hAnsi="黑体" w:eastAsia="黑体"/>
          <w:sz w:val="32"/>
          <w:szCs w:val="32"/>
        </w:rPr>
        <w:t>一般公共预算支出表的说明</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（一）一般公共预算当年拨款规模变化情况。</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default" w:ascii="仿宋_GB2312" w:hAnsi="黑体" w:eastAsia="仿宋_GB2312"/>
          <w:snapToGrid w:val="0"/>
          <w:w w:val="95"/>
          <w:sz w:val="32"/>
          <w:szCs w:val="32"/>
          <w:lang w:val="en-US" w:eastAsia="zh-CN"/>
        </w:rPr>
      </w:pPr>
      <w:r>
        <w:rPr>
          <w:rFonts w:hint="eastAsia" w:ascii="仿宋_GB2312" w:hAnsi="黑体" w:eastAsia="仿宋_GB2312"/>
          <w:snapToGrid w:val="0"/>
          <w:w w:val="95"/>
          <w:sz w:val="32"/>
          <w:szCs w:val="32"/>
          <w:lang w:val="en-US" w:eastAsia="zh-CN"/>
        </w:rPr>
        <w:t>2023年一般公共预算当年拨款95.47万元，较2022年增长15.83%，主要原因为工资福利预算增加。</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（二）一般公共预算当年拨款结构情况。</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黑体" w:eastAsia="仿宋_GB2312"/>
          <w:snapToGrid w:val="0"/>
          <w:w w:val="95"/>
          <w:sz w:val="32"/>
          <w:szCs w:val="32"/>
          <w:lang w:val="en-US" w:eastAsia="zh-CN"/>
        </w:rPr>
      </w:pPr>
      <w:r>
        <w:rPr>
          <w:rFonts w:hint="eastAsia" w:ascii="仿宋_GB2312" w:hAnsi="黑体" w:eastAsia="仿宋_GB2312"/>
          <w:snapToGrid w:val="0"/>
          <w:w w:val="95"/>
          <w:sz w:val="32"/>
          <w:szCs w:val="32"/>
          <w:lang w:val="en-US" w:eastAsia="zh-CN"/>
        </w:rPr>
        <w:t>2023年一般公共预算当年拨款95.47万元,其中:一般公共服务支出74.53万元，占78.06%；社会保障和就业支出8.92万元，占9.34%；卫生健康支出5.38万元，占5.64%；住房保障支出6.64万元，占6.96%。</w:t>
      </w:r>
    </w:p>
    <w:p>
      <w:pPr>
        <w:spacing w:after="0"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（三）一般公共预算当年拨款具体使用情况。</w:t>
      </w:r>
    </w:p>
    <w:p>
      <w:pPr>
        <w:spacing w:after="0" w:line="560" w:lineRule="exact"/>
        <w:ind w:firstLine="640" w:firstLineChars="200"/>
        <w:jc w:val="both"/>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rPr>
        <w:t>1.一般公共服务支出（类）政府办公厅（室）及相关机构事务（款）行政运行（项）202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年预算数为72.53万元</w:t>
      </w:r>
      <w:r>
        <w:rPr>
          <w:rFonts w:hint="eastAsia" w:ascii="仿宋_GB2312" w:hAnsi="仿宋" w:eastAsia="仿宋_GB2312"/>
          <w:sz w:val="32"/>
          <w:szCs w:val="32"/>
          <w:highlight w:val="none"/>
          <w:lang w:eastAsia="zh-CN"/>
        </w:rPr>
        <w:t>，比</w:t>
      </w:r>
      <w:r>
        <w:rPr>
          <w:rFonts w:hint="eastAsia" w:ascii="仿宋_GB2312" w:hAnsi="仿宋" w:eastAsia="仿宋_GB2312"/>
          <w:sz w:val="32"/>
          <w:szCs w:val="32"/>
          <w:highlight w:val="none"/>
          <w:lang w:val="en-US" w:eastAsia="zh-CN"/>
        </w:rPr>
        <w:t>2022年执行数增加11.47万元，增长18.78%。主要是奖金、津贴补贴、基本工资、休假探亲费、公用经费。原因是公用经费和人员经费增加。</w:t>
      </w:r>
    </w:p>
    <w:p>
      <w:pPr>
        <w:spacing w:after="0" w:line="560" w:lineRule="exact"/>
        <w:ind w:firstLine="640" w:firstLineChars="200"/>
        <w:jc w:val="both"/>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rPr>
        <w:t>一般公共服务支出（类）政府办公厅（室）及相关机构事务（款）一般行政管理事务（项）202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年预算数为</w:t>
      </w:r>
      <w:r>
        <w:rPr>
          <w:rFonts w:hint="eastAsia" w:ascii="仿宋_GB2312" w:hAnsi="仿宋" w:eastAsia="仿宋_GB2312"/>
          <w:sz w:val="32"/>
          <w:szCs w:val="32"/>
          <w:highlight w:val="none"/>
          <w:lang w:val="en-US" w:eastAsia="zh-CN"/>
        </w:rPr>
        <w:t>2.00</w:t>
      </w:r>
      <w:r>
        <w:rPr>
          <w:rFonts w:hint="eastAsia" w:ascii="仿宋_GB2312" w:hAnsi="仿宋" w:eastAsia="仿宋_GB2312"/>
          <w:sz w:val="32"/>
          <w:szCs w:val="32"/>
          <w:highlight w:val="none"/>
        </w:rPr>
        <w:t>万元</w:t>
      </w:r>
      <w:r>
        <w:rPr>
          <w:rFonts w:hint="eastAsia" w:ascii="仿宋_GB2312" w:hAnsi="仿宋" w:eastAsia="仿宋_GB2312"/>
          <w:sz w:val="32"/>
          <w:szCs w:val="32"/>
          <w:highlight w:val="none"/>
          <w:lang w:eastAsia="zh-CN"/>
        </w:rPr>
        <w:t>。主要是藏语言文字工作专项经费</w:t>
      </w:r>
      <w:r>
        <w:rPr>
          <w:rFonts w:hint="eastAsia" w:ascii="仿宋_GB2312" w:hAnsi="仿宋" w:eastAsia="仿宋_GB2312"/>
          <w:sz w:val="32"/>
          <w:szCs w:val="32"/>
          <w:highlight w:val="none"/>
          <w:lang w:val="en-US" w:eastAsia="zh-CN"/>
        </w:rPr>
        <w:t>。与2022年预算数持平。</w:t>
      </w:r>
    </w:p>
    <w:p>
      <w:pPr>
        <w:spacing w:after="0" w:line="560" w:lineRule="exact"/>
        <w:ind w:firstLine="640" w:firstLineChars="200"/>
        <w:jc w:val="both"/>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社会保障和就业支出（类）行政事业单位养老支出（款）机关事业单位基本养老保险缴费支出（项）202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年预算数为</w:t>
      </w:r>
      <w:r>
        <w:rPr>
          <w:rFonts w:hint="eastAsia" w:ascii="仿宋_GB2312" w:hAnsi="仿宋" w:eastAsia="仿宋_GB2312"/>
          <w:sz w:val="32"/>
          <w:szCs w:val="32"/>
          <w:highlight w:val="none"/>
          <w:lang w:val="en-US" w:eastAsia="zh-CN"/>
        </w:rPr>
        <w:t>8.84</w:t>
      </w:r>
      <w:r>
        <w:rPr>
          <w:rFonts w:hint="eastAsia" w:ascii="仿宋_GB2312" w:hAnsi="仿宋" w:eastAsia="仿宋_GB2312"/>
          <w:sz w:val="32"/>
          <w:szCs w:val="32"/>
          <w:highlight w:val="none"/>
        </w:rPr>
        <w:t>万元</w:t>
      </w:r>
      <w:r>
        <w:rPr>
          <w:rFonts w:hint="eastAsia" w:ascii="仿宋_GB2312" w:hAnsi="仿宋" w:eastAsia="仿宋_GB2312"/>
          <w:sz w:val="32"/>
          <w:szCs w:val="32"/>
          <w:highlight w:val="none"/>
          <w:lang w:eastAsia="zh-CN"/>
        </w:rPr>
        <w:t>，比</w:t>
      </w:r>
      <w:r>
        <w:rPr>
          <w:rFonts w:hint="eastAsia" w:ascii="仿宋_GB2312" w:hAnsi="仿宋" w:eastAsia="仿宋_GB2312"/>
          <w:sz w:val="32"/>
          <w:szCs w:val="32"/>
          <w:highlight w:val="none"/>
          <w:lang w:val="en-US" w:eastAsia="zh-CN"/>
        </w:rPr>
        <w:t>2022年执行数增加1.28万元，增长16.93%。主要是实施养老保险制度按规定由单位缴纳的基本养老保险支出。原因是社保基数调整。</w:t>
      </w:r>
    </w:p>
    <w:p>
      <w:pPr>
        <w:spacing w:after="0" w:line="560" w:lineRule="exact"/>
        <w:ind w:firstLine="640" w:firstLineChars="200"/>
        <w:jc w:val="both"/>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val="en-US" w:eastAsia="zh-CN"/>
        </w:rPr>
        <w:t>4.</w:t>
      </w:r>
      <w:r>
        <w:rPr>
          <w:rFonts w:hint="eastAsia" w:ascii="仿宋_GB2312" w:hAnsi="仿宋" w:eastAsia="仿宋_GB2312"/>
          <w:sz w:val="32"/>
          <w:szCs w:val="32"/>
          <w:highlight w:val="none"/>
        </w:rPr>
        <w:t>社会保障和就业支出（类）财政对其他社会保险基金的补助（款）财政对工伤保险基金的补助（项）202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年预算数为</w:t>
      </w:r>
      <w:r>
        <w:rPr>
          <w:rFonts w:hint="eastAsia" w:ascii="仿宋_GB2312" w:hAnsi="仿宋" w:eastAsia="仿宋_GB2312"/>
          <w:sz w:val="32"/>
          <w:szCs w:val="32"/>
          <w:highlight w:val="none"/>
          <w:lang w:val="en-US" w:eastAsia="zh-CN"/>
        </w:rPr>
        <w:t>0.08</w:t>
      </w:r>
      <w:r>
        <w:rPr>
          <w:rFonts w:hint="eastAsia" w:ascii="仿宋_GB2312" w:hAnsi="仿宋" w:eastAsia="仿宋_GB2312"/>
          <w:sz w:val="32"/>
          <w:szCs w:val="32"/>
          <w:highlight w:val="none"/>
        </w:rPr>
        <w:t>万元</w:t>
      </w:r>
      <w:r>
        <w:rPr>
          <w:rFonts w:hint="eastAsia" w:ascii="仿宋_GB2312" w:hAnsi="仿宋" w:eastAsia="仿宋_GB2312"/>
          <w:sz w:val="32"/>
          <w:szCs w:val="32"/>
          <w:highlight w:val="none"/>
          <w:lang w:eastAsia="zh-CN"/>
        </w:rPr>
        <w:t>，比</w:t>
      </w:r>
      <w:r>
        <w:rPr>
          <w:rFonts w:hint="eastAsia" w:ascii="仿宋_GB2312" w:hAnsi="仿宋" w:eastAsia="仿宋_GB2312"/>
          <w:sz w:val="32"/>
          <w:szCs w:val="32"/>
          <w:highlight w:val="none"/>
          <w:lang w:val="en-US" w:eastAsia="zh-CN"/>
        </w:rPr>
        <w:t>2022年执行数减少0.11万元，下降57.89%。主要是按规定由单位缴纳的</w:t>
      </w:r>
      <w:r>
        <w:rPr>
          <w:rFonts w:hint="eastAsia" w:ascii="仿宋_GB2312" w:hAnsi="仿宋" w:eastAsia="仿宋_GB2312"/>
          <w:sz w:val="32"/>
          <w:szCs w:val="32"/>
          <w:highlight w:val="none"/>
        </w:rPr>
        <w:t>工伤保险</w:t>
      </w:r>
      <w:r>
        <w:rPr>
          <w:rFonts w:hint="eastAsia" w:ascii="仿宋_GB2312" w:hAnsi="仿宋" w:eastAsia="仿宋_GB2312"/>
          <w:sz w:val="32"/>
          <w:szCs w:val="32"/>
          <w:highlight w:val="none"/>
          <w:lang w:val="en-US" w:eastAsia="zh-CN"/>
        </w:rPr>
        <w:t>支出。原因是社保基数调整。</w:t>
      </w:r>
    </w:p>
    <w:p>
      <w:pPr>
        <w:spacing w:after="0" w:line="560" w:lineRule="exact"/>
        <w:ind w:firstLine="640" w:firstLineChars="200"/>
        <w:jc w:val="both"/>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val="en-US" w:eastAsia="zh-CN"/>
        </w:rPr>
        <w:t>5.</w:t>
      </w:r>
      <w:r>
        <w:rPr>
          <w:rFonts w:hint="eastAsia" w:ascii="仿宋_GB2312" w:hAnsi="仿宋" w:eastAsia="仿宋_GB2312"/>
          <w:sz w:val="32"/>
          <w:szCs w:val="32"/>
          <w:highlight w:val="none"/>
        </w:rPr>
        <w:t>卫生健康支出（类）行政事业单位医疗（款）公务员医疗补助（项）202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年预算数为</w:t>
      </w:r>
      <w:r>
        <w:rPr>
          <w:rFonts w:hint="eastAsia" w:ascii="仿宋_GB2312" w:hAnsi="仿宋" w:eastAsia="仿宋_GB2312"/>
          <w:sz w:val="32"/>
          <w:szCs w:val="32"/>
          <w:highlight w:val="none"/>
          <w:lang w:val="en-US" w:eastAsia="zh-CN"/>
        </w:rPr>
        <w:t>1.12</w:t>
      </w:r>
      <w:r>
        <w:rPr>
          <w:rFonts w:hint="eastAsia" w:ascii="仿宋_GB2312" w:hAnsi="仿宋" w:eastAsia="仿宋_GB2312"/>
          <w:sz w:val="32"/>
          <w:szCs w:val="32"/>
          <w:highlight w:val="none"/>
        </w:rPr>
        <w:t>万元</w:t>
      </w:r>
      <w:r>
        <w:rPr>
          <w:rFonts w:hint="eastAsia" w:ascii="仿宋_GB2312" w:hAnsi="仿宋" w:eastAsia="仿宋_GB2312"/>
          <w:sz w:val="32"/>
          <w:szCs w:val="32"/>
          <w:highlight w:val="none"/>
          <w:lang w:eastAsia="zh-CN"/>
        </w:rPr>
        <w:t>，比</w:t>
      </w:r>
      <w:r>
        <w:rPr>
          <w:rFonts w:hint="eastAsia" w:ascii="仿宋_GB2312" w:hAnsi="仿宋" w:eastAsia="仿宋_GB2312"/>
          <w:sz w:val="32"/>
          <w:szCs w:val="32"/>
          <w:highlight w:val="none"/>
          <w:lang w:val="en-US" w:eastAsia="zh-CN"/>
        </w:rPr>
        <w:t>2022年执行数减少0.30万元，下降21.13%。主要是按规定由单位缴纳的基本医疗保险缴费支出。原因是社保基数调整。</w:t>
      </w:r>
    </w:p>
    <w:p>
      <w:pPr>
        <w:numPr>
          <w:ilvl w:val="0"/>
          <w:numId w:val="0"/>
        </w:numPr>
        <w:spacing w:after="0" w:line="560" w:lineRule="exact"/>
        <w:jc w:val="both"/>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val="en-US" w:eastAsia="zh-CN"/>
        </w:rPr>
        <w:t xml:space="preserve">    6.</w:t>
      </w:r>
      <w:r>
        <w:rPr>
          <w:rFonts w:hint="eastAsia" w:ascii="仿宋_GB2312" w:hAnsi="仿宋" w:eastAsia="仿宋_GB2312"/>
          <w:sz w:val="32"/>
          <w:szCs w:val="32"/>
          <w:highlight w:val="none"/>
        </w:rPr>
        <w:t>卫生健康支出（类）财政对基本医疗保险基金的补助（款）财政对职工基本医疗保险基金的补助（项）202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年预算数为</w:t>
      </w:r>
      <w:r>
        <w:rPr>
          <w:rFonts w:hint="eastAsia" w:ascii="仿宋_GB2312" w:hAnsi="仿宋" w:eastAsia="仿宋_GB2312"/>
          <w:sz w:val="32"/>
          <w:szCs w:val="32"/>
          <w:highlight w:val="none"/>
          <w:lang w:val="en-US" w:eastAsia="zh-CN"/>
        </w:rPr>
        <w:t>4.26</w:t>
      </w:r>
      <w:r>
        <w:rPr>
          <w:rFonts w:hint="eastAsia" w:ascii="仿宋_GB2312" w:hAnsi="仿宋" w:eastAsia="仿宋_GB2312"/>
          <w:sz w:val="32"/>
          <w:szCs w:val="32"/>
          <w:highlight w:val="none"/>
        </w:rPr>
        <w:t>万元</w:t>
      </w:r>
      <w:r>
        <w:rPr>
          <w:rFonts w:hint="eastAsia" w:ascii="仿宋_GB2312" w:hAnsi="仿宋" w:eastAsia="仿宋_GB2312"/>
          <w:sz w:val="32"/>
          <w:szCs w:val="32"/>
          <w:highlight w:val="none"/>
          <w:lang w:eastAsia="zh-CN"/>
        </w:rPr>
        <w:t>，比</w:t>
      </w:r>
      <w:r>
        <w:rPr>
          <w:rFonts w:hint="eastAsia" w:ascii="仿宋_GB2312" w:hAnsi="仿宋" w:eastAsia="仿宋_GB2312"/>
          <w:sz w:val="32"/>
          <w:szCs w:val="32"/>
          <w:highlight w:val="none"/>
          <w:lang w:val="en-US" w:eastAsia="zh-CN"/>
        </w:rPr>
        <w:t>2022年执行数增加0.15万元，增长3.65%。要是按规定由单位缴纳的基本医疗保险缴费支出。原因是是社保基数调整。</w:t>
      </w:r>
    </w:p>
    <w:p>
      <w:pPr>
        <w:spacing w:after="0" w:line="560" w:lineRule="exact"/>
        <w:ind w:firstLine="640" w:firstLineChars="200"/>
        <w:jc w:val="both"/>
        <w:rPr>
          <w:rFonts w:hint="default"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7.</w:t>
      </w:r>
      <w:r>
        <w:rPr>
          <w:rFonts w:hint="eastAsia" w:ascii="仿宋_GB2312" w:hAnsi="仿宋" w:eastAsia="仿宋_GB2312"/>
          <w:sz w:val="32"/>
          <w:szCs w:val="32"/>
          <w:highlight w:val="none"/>
        </w:rPr>
        <w:t>住房保障支出（类）住房改革支出（款）住房公积金（项）202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年预算数为</w:t>
      </w:r>
      <w:r>
        <w:rPr>
          <w:rFonts w:hint="eastAsia" w:ascii="仿宋_GB2312" w:hAnsi="仿宋" w:eastAsia="仿宋_GB2312"/>
          <w:sz w:val="32"/>
          <w:szCs w:val="32"/>
          <w:highlight w:val="none"/>
          <w:lang w:val="en-US" w:eastAsia="zh-CN"/>
        </w:rPr>
        <w:t>6.64</w:t>
      </w:r>
      <w:r>
        <w:rPr>
          <w:rFonts w:hint="eastAsia" w:ascii="仿宋_GB2312" w:hAnsi="仿宋" w:eastAsia="仿宋_GB2312"/>
          <w:sz w:val="32"/>
          <w:szCs w:val="32"/>
          <w:highlight w:val="none"/>
        </w:rPr>
        <w:t>万元</w:t>
      </w:r>
      <w:r>
        <w:rPr>
          <w:rFonts w:hint="eastAsia" w:ascii="仿宋_GB2312" w:hAnsi="仿宋" w:eastAsia="仿宋_GB2312"/>
          <w:sz w:val="32"/>
          <w:szCs w:val="32"/>
          <w:highlight w:val="none"/>
          <w:lang w:eastAsia="zh-CN"/>
        </w:rPr>
        <w:t>，比</w:t>
      </w:r>
      <w:r>
        <w:rPr>
          <w:rFonts w:hint="eastAsia" w:ascii="仿宋_GB2312" w:hAnsi="仿宋" w:eastAsia="仿宋_GB2312"/>
          <w:sz w:val="32"/>
          <w:szCs w:val="32"/>
          <w:highlight w:val="none"/>
          <w:lang w:val="en-US" w:eastAsia="zh-CN"/>
        </w:rPr>
        <w:t>2022年执行数增加0.56万元，增长9.21%。主要是部门按人力资源和社会保障部、财政部规定的基本工资和津贴补贴、以及规定比例为职工缴纳的住房公积金支出。原因是社保基数调整。</w:t>
      </w:r>
    </w:p>
    <w:p>
      <w:pPr>
        <w:spacing w:after="0" w:line="560" w:lineRule="exact"/>
        <w:ind w:firstLine="640" w:firstLineChars="200"/>
        <w:rPr>
          <w:rFonts w:hint="eastAsia" w:ascii="黑体" w:hAnsi="黑体" w:eastAsia="黑体"/>
          <w:sz w:val="32"/>
          <w:szCs w:val="32"/>
        </w:rPr>
      </w:pPr>
      <w:r>
        <w:rPr>
          <w:rFonts w:hint="eastAsia" w:ascii="黑体" w:hAnsi="黑体" w:eastAsia="黑体"/>
          <w:sz w:val="32"/>
          <w:szCs w:val="32"/>
        </w:rPr>
        <w:t>六、</w:t>
      </w:r>
      <w:r>
        <w:rPr>
          <w:rFonts w:hint="eastAsia" w:ascii="黑体" w:hAnsi="黑体" w:eastAsia="黑体"/>
          <w:sz w:val="32"/>
          <w:szCs w:val="32"/>
          <w:lang w:eastAsia="zh-CN"/>
        </w:rPr>
        <w:t>2023年</w:t>
      </w:r>
      <w:r>
        <w:rPr>
          <w:rFonts w:hint="eastAsia" w:ascii="黑体" w:hAnsi="黑体" w:eastAsia="黑体"/>
          <w:sz w:val="32"/>
          <w:szCs w:val="32"/>
        </w:rPr>
        <w:t>一般公共预算基本支出表的说明</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黑体" w:eastAsia="仿宋_GB2312"/>
          <w:snapToGrid w:val="0"/>
          <w:w w:val="95"/>
          <w:sz w:val="32"/>
          <w:szCs w:val="32"/>
          <w:lang w:val="en-US" w:eastAsia="zh-CN"/>
        </w:rPr>
      </w:pPr>
      <w:r>
        <w:rPr>
          <w:rFonts w:hint="eastAsia" w:ascii="仿宋_GB2312" w:hAnsi="黑体" w:eastAsia="仿宋_GB2312"/>
          <w:snapToGrid w:val="0"/>
          <w:w w:val="95"/>
          <w:sz w:val="32"/>
          <w:szCs w:val="32"/>
          <w:lang w:val="en-US" w:eastAsia="zh-CN"/>
        </w:rPr>
        <w:t>一般公共预算基本支出主要由两部分组成：人员经费支出和公用经费支出。2023年一般公共预算基本支出93.47万元，其中：</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黑体" w:eastAsia="仿宋_GB2312"/>
          <w:snapToGrid w:val="0"/>
          <w:w w:val="95"/>
          <w:sz w:val="32"/>
          <w:szCs w:val="32"/>
          <w:lang w:val="en-US" w:eastAsia="zh-CN"/>
        </w:rPr>
      </w:pPr>
      <w:r>
        <w:rPr>
          <w:rFonts w:hint="eastAsia" w:ascii="仿宋_GB2312" w:hAnsi="黑体" w:eastAsia="仿宋_GB2312"/>
          <w:snapToGrid w:val="0"/>
          <w:w w:val="95"/>
          <w:sz w:val="32"/>
          <w:szCs w:val="32"/>
          <w:lang w:val="en-US" w:eastAsia="zh-CN"/>
        </w:rPr>
        <w:t>人员经费83.87万元，主要包括工资福利支出（基本工资、津贴补贴、奖金、机关事业单位基本养老保险缴费、职工基本医疗保险缴费、公务员医疗补助缴费、其他社会保障缴费、住房公积金、其他工资福利支出）。</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黑体" w:eastAsia="仿宋_GB2312"/>
          <w:snapToGrid w:val="0"/>
          <w:w w:val="95"/>
          <w:sz w:val="32"/>
          <w:szCs w:val="32"/>
          <w:lang w:val="en-US" w:eastAsia="zh-CN"/>
        </w:rPr>
      </w:pPr>
      <w:r>
        <w:rPr>
          <w:rFonts w:hint="eastAsia" w:ascii="仿宋_GB2312" w:hAnsi="黑体" w:eastAsia="仿宋_GB2312"/>
          <w:snapToGrid w:val="0"/>
          <w:w w:val="95"/>
          <w:sz w:val="32"/>
          <w:szCs w:val="32"/>
          <w:lang w:val="en-US" w:eastAsia="zh-CN"/>
        </w:rPr>
        <w:t>公用经费9.60万元，主要包括商品和服务支出（办公费、印刷费、水费、电费、邮电费、取暖费、差旅费、维修(护)费、会议费、培训费、公务接待费、委托业务费、公务用车运行维护费、其他商品和服务支出。</w:t>
      </w:r>
    </w:p>
    <w:p>
      <w:pPr>
        <w:spacing w:after="0" w:line="560" w:lineRule="exact"/>
        <w:ind w:firstLine="640" w:firstLineChars="200"/>
        <w:rPr>
          <w:rFonts w:hint="eastAsia" w:ascii="黑体" w:hAnsi="黑体" w:eastAsia="黑体"/>
          <w:sz w:val="32"/>
          <w:szCs w:val="32"/>
        </w:rPr>
      </w:pPr>
      <w:r>
        <w:rPr>
          <w:rFonts w:hint="eastAsia" w:ascii="黑体" w:hAnsi="黑体" w:eastAsia="黑体"/>
          <w:sz w:val="32"/>
          <w:szCs w:val="32"/>
        </w:rPr>
        <w:t>七、</w:t>
      </w:r>
      <w:r>
        <w:rPr>
          <w:rFonts w:hint="eastAsia" w:ascii="黑体" w:hAnsi="黑体" w:eastAsia="黑体"/>
          <w:sz w:val="32"/>
          <w:szCs w:val="32"/>
          <w:lang w:eastAsia="zh-CN"/>
        </w:rPr>
        <w:t>2023年</w:t>
      </w:r>
      <w:r>
        <w:rPr>
          <w:rFonts w:hint="eastAsia" w:ascii="黑体" w:hAnsi="黑体" w:eastAsia="黑体"/>
          <w:sz w:val="32"/>
          <w:szCs w:val="32"/>
        </w:rPr>
        <w:t>度一般公共预算“三公”经费预算情况说明</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黑体" w:eastAsia="仿宋_GB2312"/>
          <w:snapToGrid w:val="0"/>
          <w:w w:val="95"/>
          <w:sz w:val="32"/>
          <w:szCs w:val="32"/>
          <w:lang w:val="en-US" w:eastAsia="zh-CN"/>
        </w:rPr>
      </w:pPr>
      <w:r>
        <w:rPr>
          <w:rFonts w:hint="eastAsia" w:ascii="仿宋_GB2312" w:hAnsi="黑体" w:eastAsia="仿宋_GB2312"/>
          <w:snapToGrid w:val="0"/>
          <w:w w:val="95"/>
          <w:sz w:val="32"/>
          <w:szCs w:val="32"/>
          <w:lang w:val="en-US" w:eastAsia="zh-CN"/>
        </w:rPr>
        <w:t>2023年“三公”经费财政拨款预算1.40万元，较2022年增长3.70%。</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黑体" w:eastAsia="仿宋_GB2312"/>
          <w:snapToGrid w:val="0"/>
          <w:w w:val="95"/>
          <w:sz w:val="32"/>
          <w:szCs w:val="32"/>
          <w:lang w:val="en-US" w:eastAsia="zh-CN"/>
        </w:rPr>
      </w:pPr>
      <w:r>
        <w:rPr>
          <w:rFonts w:hint="eastAsia" w:ascii="楷体_GB2312" w:hAnsi="楷体_GB2312" w:eastAsia="楷体_GB2312" w:cs="楷体_GB2312"/>
          <w:sz w:val="32"/>
          <w:szCs w:val="32"/>
          <w:lang w:val="en-US" w:eastAsia="zh-CN"/>
        </w:rPr>
        <w:t>1.因公出国（境）费用。</w:t>
      </w:r>
      <w:r>
        <w:rPr>
          <w:rFonts w:hint="eastAsia" w:ascii="仿宋_GB2312" w:hAnsi="黑体" w:eastAsia="仿宋_GB2312"/>
          <w:snapToGrid w:val="0"/>
          <w:w w:val="95"/>
          <w:sz w:val="32"/>
          <w:szCs w:val="32"/>
          <w:lang w:val="en-US" w:eastAsia="zh-CN"/>
        </w:rPr>
        <w:t>2023年预算数为0万元。为进一步规范因公出国（境）费用管理，我县因公出国（境）费用按照零基预算原则，因此因公出国（境）费用预算为零。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仿宋_GB2312" w:hAnsi="黑体" w:eastAsia="仿宋_GB2312"/>
          <w:snapToGrid w:val="0"/>
          <w:w w:val="95"/>
          <w:sz w:val="32"/>
          <w:szCs w:val="32"/>
          <w:lang w:val="en-US" w:eastAsia="zh-CN"/>
        </w:rPr>
      </w:pPr>
      <w:r>
        <w:rPr>
          <w:rFonts w:hint="eastAsia" w:ascii="楷体_GB2312" w:hAnsi="楷体_GB2312" w:eastAsia="楷体_GB2312" w:cs="楷体_GB2312"/>
          <w:sz w:val="32"/>
          <w:szCs w:val="32"/>
          <w:lang w:val="en-US" w:eastAsia="zh-CN"/>
        </w:rPr>
        <w:t>2.</w:t>
      </w:r>
      <w:r>
        <w:rPr>
          <w:rFonts w:hint="default" w:ascii="楷体_GB2312" w:hAnsi="楷体_GB2312" w:eastAsia="楷体_GB2312" w:cs="楷体_GB2312"/>
          <w:sz w:val="32"/>
          <w:szCs w:val="32"/>
          <w:lang w:val="en-US" w:eastAsia="zh-CN"/>
        </w:rPr>
        <w:t>公务用车购置及运行费</w:t>
      </w:r>
      <w:r>
        <w:rPr>
          <w:rFonts w:hint="eastAsia" w:ascii="楷体_GB2312" w:hAnsi="楷体_GB2312" w:eastAsia="楷体_GB2312" w:cs="楷体_GB2312"/>
          <w:sz w:val="32"/>
          <w:szCs w:val="32"/>
          <w:lang w:val="en-US" w:eastAsia="zh-CN"/>
        </w:rPr>
        <w:t>。</w:t>
      </w:r>
      <w:r>
        <w:rPr>
          <w:rFonts w:hint="eastAsia" w:ascii="仿宋_GB2312" w:hAnsi="黑体" w:eastAsia="仿宋_GB2312"/>
          <w:snapToGrid w:val="0"/>
          <w:w w:val="95"/>
          <w:sz w:val="32"/>
          <w:szCs w:val="32"/>
          <w:lang w:val="en-US" w:eastAsia="zh-CN"/>
        </w:rPr>
        <w:t>2023年预算数1.20万元。其中：</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黑体" w:eastAsia="仿宋_GB2312"/>
          <w:snapToGrid w:val="0"/>
          <w:w w:val="95"/>
          <w:sz w:val="32"/>
          <w:szCs w:val="32"/>
          <w:lang w:val="en-US" w:eastAsia="zh-CN"/>
        </w:rPr>
      </w:pPr>
      <w:r>
        <w:rPr>
          <w:rFonts w:hint="eastAsia" w:ascii="仿宋_GB2312" w:hAnsi="黑体" w:eastAsia="仿宋_GB2312"/>
          <w:snapToGrid w:val="0"/>
          <w:w w:val="95"/>
          <w:sz w:val="32"/>
          <w:szCs w:val="32"/>
          <w:lang w:val="en-US" w:eastAsia="zh-CN"/>
        </w:rPr>
        <w:t>（1）公务用车购置费。2023年公务用车购置费预算数为0万元（公务用车购置严格按照我县车辆管理及厉行节约有关要求实行总额控制），与2022年预算数持平。</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黑体" w:eastAsia="仿宋_GB2312"/>
          <w:snapToGrid w:val="0"/>
          <w:w w:val="95"/>
          <w:sz w:val="32"/>
          <w:szCs w:val="32"/>
          <w:lang w:val="en-US" w:eastAsia="zh-CN"/>
        </w:rPr>
      </w:pPr>
      <w:r>
        <w:rPr>
          <w:rFonts w:hint="eastAsia" w:ascii="仿宋_GB2312" w:hAnsi="黑体" w:eastAsia="仿宋_GB2312"/>
          <w:snapToGrid w:val="0"/>
          <w:w w:val="95"/>
          <w:sz w:val="32"/>
          <w:szCs w:val="32"/>
          <w:lang w:val="en-US" w:eastAsia="zh-CN"/>
        </w:rPr>
        <w:t>（2）公务用车运行费。2023年预算数1.20万元。较2022年增长33.33%，主要原因为单位下乡、出差次数增多，导致公务用车运行费上升。单位公务用车实有量0辆，保有量0辆。</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黑体" w:eastAsia="仿宋_GB2312"/>
          <w:snapToGrid w:val="0"/>
          <w:w w:val="95"/>
          <w:sz w:val="32"/>
          <w:szCs w:val="32"/>
          <w:lang w:val="en-US" w:eastAsia="zh-CN"/>
        </w:rPr>
      </w:pPr>
      <w:r>
        <w:rPr>
          <w:rFonts w:hint="eastAsia" w:ascii="楷体_GB2312" w:hAnsi="楷体_GB2312" w:eastAsia="楷体_GB2312" w:cs="楷体_GB2312"/>
          <w:sz w:val="32"/>
          <w:szCs w:val="32"/>
          <w:lang w:val="en-US" w:eastAsia="zh-CN"/>
        </w:rPr>
        <w:t>3.公务接待费。</w:t>
      </w:r>
      <w:r>
        <w:rPr>
          <w:rFonts w:hint="eastAsia" w:ascii="仿宋_GB2312" w:hAnsi="黑体" w:eastAsia="仿宋_GB2312"/>
          <w:snapToGrid w:val="0"/>
          <w:w w:val="95"/>
          <w:sz w:val="32"/>
          <w:szCs w:val="32"/>
          <w:lang w:val="en-US" w:eastAsia="zh-CN"/>
        </w:rPr>
        <w:t>2023年预算数0.20万元。较2022年度预算减少00.7万元，降低77.77%，主要原因为我部门按照公务接待相关要求，厉行勤俭节约严格控制不必要的公务接待费支出。</w:t>
      </w:r>
    </w:p>
    <w:p>
      <w:pPr>
        <w:spacing w:after="0" w:line="560" w:lineRule="exact"/>
        <w:ind w:firstLine="640" w:firstLineChars="200"/>
        <w:rPr>
          <w:rFonts w:hint="eastAsia" w:ascii="黑体" w:hAnsi="黑体" w:eastAsia="黑体"/>
          <w:sz w:val="32"/>
          <w:szCs w:val="32"/>
        </w:rPr>
      </w:pPr>
      <w:r>
        <w:rPr>
          <w:rFonts w:hint="eastAsia" w:ascii="黑体" w:hAnsi="黑体" w:eastAsia="黑体"/>
          <w:sz w:val="32"/>
          <w:szCs w:val="32"/>
        </w:rPr>
        <w:t>八、</w:t>
      </w:r>
      <w:r>
        <w:rPr>
          <w:rFonts w:hint="eastAsia" w:ascii="黑体" w:hAnsi="黑体" w:eastAsia="黑体"/>
          <w:sz w:val="32"/>
          <w:szCs w:val="32"/>
          <w:lang w:eastAsia="zh-CN"/>
        </w:rPr>
        <w:t>2023年</w:t>
      </w:r>
      <w:r>
        <w:rPr>
          <w:rFonts w:hint="eastAsia" w:ascii="黑体" w:hAnsi="黑体" w:eastAsia="黑体"/>
          <w:sz w:val="32"/>
          <w:szCs w:val="32"/>
        </w:rPr>
        <w:t>度政府性基金预算支出情况说明</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黑体" w:eastAsia="仿宋_GB2312"/>
          <w:snapToGrid w:val="0"/>
          <w:w w:val="95"/>
          <w:sz w:val="32"/>
          <w:szCs w:val="32"/>
          <w:lang w:val="en-US" w:eastAsia="zh-CN"/>
        </w:rPr>
      </w:pPr>
      <w:r>
        <w:rPr>
          <w:rFonts w:hint="eastAsia" w:ascii="仿宋_GB2312" w:hAnsi="黑体" w:eastAsia="仿宋_GB2312"/>
          <w:snapToGrid w:val="0"/>
          <w:w w:val="95"/>
          <w:sz w:val="32"/>
          <w:szCs w:val="32"/>
          <w:lang w:val="en-US" w:eastAsia="zh-CN"/>
        </w:rPr>
        <w:t>2023年度本部门无政府性基金安排的支出。</w:t>
      </w:r>
    </w:p>
    <w:p>
      <w:pPr>
        <w:spacing w:after="0" w:line="560" w:lineRule="exact"/>
        <w:ind w:firstLine="640" w:firstLineChars="200"/>
        <w:rPr>
          <w:rFonts w:hint="eastAsia" w:ascii="黑体" w:hAnsi="黑体" w:eastAsia="黑体"/>
          <w:sz w:val="32"/>
          <w:szCs w:val="32"/>
        </w:rPr>
      </w:pPr>
      <w:r>
        <w:rPr>
          <w:rFonts w:hint="eastAsia" w:ascii="黑体" w:hAnsi="黑体" w:eastAsia="黑体"/>
          <w:sz w:val="32"/>
          <w:szCs w:val="32"/>
        </w:rPr>
        <w:t>九、其他重要事项的情况说明</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(一)机关运行经费安排情况说明。</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黑体" w:eastAsia="仿宋_GB2312"/>
          <w:snapToGrid w:val="0"/>
          <w:w w:val="95"/>
          <w:sz w:val="32"/>
          <w:szCs w:val="32"/>
          <w:lang w:val="en-US" w:eastAsia="zh-CN"/>
        </w:rPr>
      </w:pPr>
      <w:r>
        <w:rPr>
          <w:rFonts w:hint="eastAsia" w:ascii="仿宋_GB2312" w:hAnsi="黑体" w:eastAsia="仿宋_GB2312"/>
          <w:snapToGrid w:val="0"/>
          <w:w w:val="95"/>
          <w:sz w:val="32"/>
          <w:szCs w:val="32"/>
          <w:lang w:val="en-US" w:eastAsia="zh-CN"/>
        </w:rPr>
        <w:t>2023年度部门机关运行经费9.60元。比2022年预算增加2.40万元，增长33.33%，主要原因为单位下乡、出差次数增多，导致公务用车运行费上升。</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（二）政府采购预算情况说明。</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黑体" w:eastAsia="仿宋_GB2312"/>
          <w:snapToGrid w:val="0"/>
          <w:w w:val="95"/>
          <w:sz w:val="32"/>
          <w:szCs w:val="32"/>
          <w:lang w:val="en-US" w:eastAsia="zh-CN"/>
        </w:rPr>
      </w:pPr>
      <w:r>
        <w:rPr>
          <w:rFonts w:hint="eastAsia" w:ascii="仿宋_GB2312" w:hAnsi="黑体" w:eastAsia="仿宋_GB2312"/>
          <w:snapToGrid w:val="0"/>
          <w:w w:val="95"/>
          <w:sz w:val="32"/>
          <w:szCs w:val="32"/>
          <w:lang w:val="en-US" w:eastAsia="zh-CN"/>
        </w:rPr>
        <w:t>2023年度部门政府采购预算为0万元。</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（三）国有资产占有情况说明。</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黑体" w:eastAsia="仿宋_GB2312"/>
          <w:snapToGrid w:val="0"/>
          <w:w w:val="95"/>
          <w:sz w:val="32"/>
          <w:szCs w:val="32"/>
          <w:lang w:val="en-US" w:eastAsia="zh-CN"/>
        </w:rPr>
      </w:pPr>
      <w:r>
        <w:rPr>
          <w:rFonts w:hint="eastAsia" w:ascii="仿宋_GB2312" w:hAnsi="黑体" w:eastAsia="仿宋_GB2312"/>
          <w:snapToGrid w:val="0"/>
          <w:w w:val="95"/>
          <w:sz w:val="32"/>
          <w:szCs w:val="32"/>
          <w:lang w:val="en-US" w:eastAsia="zh-CN"/>
        </w:rPr>
        <w:t>截至2023年1月底，本部门共有车辆0辆，其中，领导干部用车0辆。单位价值50万元以上通用设备0台（套），单位价值100万元以上专用设备0台（套）。</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（四）预算的绩效情况说明及重点项目预算绩效目标表。</w:t>
      </w:r>
    </w:p>
    <w:p>
      <w:pPr>
        <w:keepNext w:val="0"/>
        <w:keepLines w:val="0"/>
        <w:pageBreakBefore w:val="0"/>
        <w:widowControl/>
        <w:kinsoku/>
        <w:wordWrap/>
        <w:overflowPunct/>
        <w:topLinePunct w:val="0"/>
        <w:autoSpaceDE/>
        <w:autoSpaceDN/>
        <w:bidi w:val="0"/>
        <w:adjustRightInd w:val="0"/>
        <w:snapToGrid w:val="0"/>
        <w:spacing w:after="0" w:line="570" w:lineRule="exact"/>
        <w:ind w:firstLine="608" w:firstLineChars="200"/>
        <w:jc w:val="both"/>
        <w:textAlignment w:val="auto"/>
        <w:rPr>
          <w:rFonts w:hint="eastAsia" w:ascii="仿宋_GB2312" w:hAnsi="黑体" w:eastAsia="仿宋_GB2312"/>
          <w:snapToGrid w:val="0"/>
          <w:w w:val="95"/>
          <w:sz w:val="32"/>
          <w:szCs w:val="32"/>
          <w:lang w:val="en-US" w:eastAsia="zh-CN"/>
        </w:rPr>
      </w:pPr>
      <w:r>
        <w:rPr>
          <w:rFonts w:hint="eastAsia" w:ascii="仿宋_GB2312" w:hAnsi="黑体" w:eastAsia="仿宋_GB2312"/>
          <w:snapToGrid w:val="0"/>
          <w:w w:val="95"/>
          <w:sz w:val="32"/>
          <w:szCs w:val="32"/>
          <w:lang w:val="en-US" w:eastAsia="zh-CN"/>
        </w:rPr>
        <w:t>2023年察隅县语委办实现财政支出绩效目标管理全覆盖，实行绩效目标管理9个，资金95.47万元，选取1个预算项目为重点项目（见名词解释）实行绩效目标管理，是藏语言文字工作专项经费2.00万元，占年初项目支出预算总额的2.09%。</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（五）扶贫资金管理使用情况及绩效目标情况说明。</w:t>
      </w:r>
    </w:p>
    <w:p>
      <w:pPr>
        <w:keepNext w:val="0"/>
        <w:keepLines w:val="0"/>
        <w:pageBreakBefore w:val="0"/>
        <w:widowControl/>
        <w:kinsoku/>
        <w:wordWrap/>
        <w:overflowPunct/>
        <w:topLinePunct w:val="0"/>
        <w:autoSpaceDE w:val="0"/>
        <w:autoSpaceDN w:val="0"/>
        <w:bidi w:val="0"/>
        <w:adjustRightInd w:val="0"/>
        <w:snapToGrid w:val="0"/>
        <w:spacing w:after="0" w:line="560" w:lineRule="exact"/>
        <w:ind w:left="0" w:leftChars="0" w:right="0" w:rightChars="0" w:firstLine="640" w:firstLineChars="200"/>
        <w:jc w:val="both"/>
        <w:textAlignment w:val="auto"/>
        <w:outlineLvl w:val="9"/>
        <w:rPr>
          <w:rFonts w:hint="eastAsia" w:ascii="仿宋_GB2312" w:hAnsi="宋体" w:eastAsia="仿宋_GB2312" w:cs="宋体"/>
          <w:sz w:val="32"/>
          <w:szCs w:val="32"/>
        </w:rPr>
      </w:pPr>
      <w:r>
        <w:rPr>
          <w:rFonts w:hint="eastAsia" w:ascii="仿宋_GB2312" w:hAnsi="宋体" w:eastAsia="仿宋_GB2312" w:cs="宋体"/>
          <w:sz w:val="32"/>
          <w:szCs w:val="32"/>
          <w:lang w:eastAsia="zh-CN"/>
        </w:rPr>
        <w:t>2023年</w:t>
      </w:r>
      <w:r>
        <w:rPr>
          <w:rFonts w:hint="eastAsia" w:ascii="仿宋_GB2312" w:hAnsi="宋体" w:eastAsia="仿宋_GB2312" w:cs="宋体"/>
          <w:sz w:val="32"/>
          <w:szCs w:val="32"/>
        </w:rPr>
        <w:t>度无扶贫资金预算安排。</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六</w:t>
      </w:r>
      <w:r>
        <w:rPr>
          <w:rFonts w:hint="eastAsia" w:ascii="楷体_GB2312" w:hAnsi="楷体_GB2312" w:eastAsia="楷体_GB2312" w:cs="楷体_GB2312"/>
          <w:sz w:val="32"/>
          <w:szCs w:val="32"/>
        </w:rPr>
        <w:t>）政府债务情况。</w:t>
      </w:r>
    </w:p>
    <w:p>
      <w:pPr>
        <w:keepNext w:val="0"/>
        <w:keepLines w:val="0"/>
        <w:pageBreakBefore w:val="0"/>
        <w:widowControl/>
        <w:kinsoku/>
        <w:wordWrap/>
        <w:overflowPunct/>
        <w:topLinePunct w:val="0"/>
        <w:autoSpaceDE w:val="0"/>
        <w:autoSpaceDN w:val="0"/>
        <w:bidi w:val="0"/>
        <w:adjustRightInd w:val="0"/>
        <w:snapToGrid w:val="0"/>
        <w:spacing w:after="0" w:line="560"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_GB2312" w:hAnsi="宋体" w:eastAsia="仿宋_GB2312" w:cs="宋体"/>
          <w:sz w:val="32"/>
          <w:szCs w:val="32"/>
        </w:rPr>
        <w:t>本单位无举借债务情况。</w:t>
      </w:r>
    </w:p>
    <w:p>
      <w:pPr>
        <w:keepNext w:val="0"/>
        <w:keepLines w:val="0"/>
        <w:pageBreakBefore w:val="0"/>
        <w:widowControl/>
        <w:numPr>
          <w:ilvl w:val="0"/>
          <w:numId w:val="0"/>
        </w:numPr>
        <w:tabs>
          <w:tab w:val="left" w:pos="3532"/>
        </w:tabs>
        <w:kinsoku/>
        <w:wordWrap/>
        <w:overflowPunct/>
        <w:topLinePunct w:val="0"/>
        <w:autoSpaceDE/>
        <w:autoSpaceDN/>
        <w:bidi w:val="0"/>
        <w:adjustRightInd w:val="0"/>
        <w:snapToGrid w:val="0"/>
        <w:spacing w:after="0" w:line="560" w:lineRule="exact"/>
        <w:jc w:val="left"/>
        <w:textAlignment w:val="auto"/>
        <w:rPr>
          <w:rFonts w:hint="eastAsia" w:ascii="黑体" w:hAnsi="黑体" w:eastAsia="黑体"/>
          <w:b w:val="0"/>
          <w:bCs/>
          <w:snapToGrid w:val="0"/>
          <w:w w:val="95"/>
          <w:sz w:val="44"/>
          <w:szCs w:val="44"/>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836" w:firstLineChars="200"/>
        <w:jc w:val="center"/>
        <w:textAlignment w:val="auto"/>
        <w:rPr>
          <w:rFonts w:ascii="方正小标宋简体" w:hAnsi="黑体" w:eastAsia="方正小标宋简体"/>
          <w:snapToGrid w:val="0"/>
          <w:w w:val="95"/>
          <w:sz w:val="44"/>
          <w:szCs w:val="44"/>
        </w:rPr>
      </w:pPr>
      <w:r>
        <w:rPr>
          <w:rFonts w:hint="eastAsia" w:ascii="方正小标宋简体" w:hAnsi="黑体" w:eastAsia="方正小标宋简体"/>
          <w:snapToGrid w:val="0"/>
          <w:w w:val="95"/>
          <w:sz w:val="44"/>
          <w:szCs w:val="44"/>
        </w:rPr>
        <w:t>第四部分</w:t>
      </w:r>
      <w:r>
        <w:rPr>
          <w:rFonts w:hint="eastAsia" w:ascii="方正小标宋简体" w:hAnsi="黑体" w:eastAsia="方正小标宋简体"/>
          <w:snapToGrid w:val="0"/>
          <w:w w:val="95"/>
          <w:sz w:val="44"/>
          <w:szCs w:val="44"/>
          <w:lang w:val="en-US" w:eastAsia="zh-CN"/>
        </w:rPr>
        <w:t xml:space="preserve">  </w:t>
      </w:r>
      <w:r>
        <w:rPr>
          <w:rFonts w:hint="eastAsia" w:ascii="方正小标宋简体" w:hAnsi="黑体" w:eastAsia="方正小标宋简体"/>
          <w:snapToGrid w:val="0"/>
          <w:w w:val="95"/>
          <w:sz w:val="44"/>
          <w:szCs w:val="44"/>
        </w:rPr>
        <w:t>名词解释</w:t>
      </w:r>
    </w:p>
    <w:p>
      <w:pPr>
        <w:spacing w:after="0" w:line="560" w:lineRule="exact"/>
        <w:ind w:firstLine="640" w:firstLineChars="200"/>
        <w:jc w:val="both"/>
        <w:rPr>
          <w:rFonts w:hint="eastAsia" w:ascii="黑体" w:hAnsi="黑体" w:eastAsia="黑体" w:cs="黑体"/>
          <w:sz w:val="32"/>
          <w:szCs w:val="32"/>
        </w:rPr>
      </w:pPr>
    </w:p>
    <w:p>
      <w:pPr>
        <w:spacing w:after="0" w:line="560" w:lineRule="exact"/>
        <w:ind w:firstLine="640" w:firstLineChars="200"/>
        <w:jc w:val="both"/>
        <w:rPr>
          <w:rFonts w:ascii="仿宋_GB2312" w:hAnsi="宋体" w:eastAsia="仿宋_GB2312" w:cs="宋体"/>
          <w:sz w:val="32"/>
          <w:szCs w:val="32"/>
        </w:rPr>
      </w:pPr>
      <w:r>
        <w:rPr>
          <w:rFonts w:hint="eastAsia" w:ascii="黑体" w:hAnsi="黑体" w:eastAsia="黑体" w:cs="黑体"/>
          <w:sz w:val="32"/>
          <w:szCs w:val="32"/>
        </w:rPr>
        <w:t>一、一般公共预算拨款收入</w:t>
      </w:r>
      <w:r>
        <w:rPr>
          <w:rFonts w:hint="eastAsia" w:ascii="仿宋_GB2312" w:hAnsi="宋体" w:eastAsia="仿宋_GB2312" w:cs="宋体"/>
          <w:sz w:val="32"/>
          <w:szCs w:val="32"/>
        </w:rPr>
        <w:t>：指本级财政当年拨付的资金。</w:t>
      </w:r>
    </w:p>
    <w:p>
      <w:pPr>
        <w:spacing w:after="0" w:line="560" w:lineRule="exact"/>
        <w:ind w:firstLine="640" w:firstLineChars="200"/>
        <w:jc w:val="both"/>
        <w:rPr>
          <w:rFonts w:ascii="仿宋_GB2312" w:hAnsi="仿宋" w:eastAsia="仿宋_GB2312"/>
          <w:sz w:val="32"/>
          <w:szCs w:val="32"/>
        </w:rPr>
      </w:pPr>
      <w:r>
        <w:rPr>
          <w:rFonts w:hint="eastAsia" w:ascii="黑体" w:hAnsi="黑体" w:eastAsia="黑体"/>
          <w:sz w:val="32"/>
          <w:szCs w:val="32"/>
        </w:rPr>
        <w:t>二、其他收入：</w:t>
      </w:r>
      <w:r>
        <w:rPr>
          <w:rFonts w:hint="eastAsia" w:ascii="仿宋_GB2312" w:hAnsi="仿宋" w:eastAsia="仿宋_GB2312"/>
          <w:sz w:val="32"/>
          <w:szCs w:val="32"/>
        </w:rPr>
        <w:t>指除上述“一般公共预算拨款收入”、“事业收入”、“事业单位经营收入”等以外的收入。主要是按规定动用的售房收入、存款利息收入等。</w:t>
      </w:r>
    </w:p>
    <w:p>
      <w:pPr>
        <w:spacing w:after="0" w:line="560" w:lineRule="exact"/>
        <w:ind w:firstLine="640" w:firstLineChars="200"/>
        <w:jc w:val="both"/>
        <w:rPr>
          <w:rFonts w:ascii="仿宋_GB2312" w:hAnsi="仿宋" w:eastAsia="仿宋_GB2312"/>
          <w:sz w:val="32"/>
          <w:szCs w:val="32"/>
        </w:rPr>
      </w:pPr>
      <w:r>
        <w:rPr>
          <w:rFonts w:hint="eastAsia" w:ascii="黑体" w:hAnsi="黑体" w:eastAsia="黑体"/>
          <w:sz w:val="32"/>
          <w:szCs w:val="32"/>
        </w:rPr>
        <w:t>三、上年结转：</w:t>
      </w:r>
      <w:r>
        <w:rPr>
          <w:rFonts w:hint="eastAsia" w:ascii="仿宋_GB2312" w:hAnsi="仿宋" w:eastAsia="仿宋_GB2312"/>
          <w:sz w:val="32"/>
          <w:szCs w:val="32"/>
        </w:rPr>
        <w:t>指以前年度安排、结转到本年仍按原规定用途继续使用的资金。</w:t>
      </w:r>
    </w:p>
    <w:p>
      <w:pPr>
        <w:spacing w:after="0" w:line="560" w:lineRule="exact"/>
        <w:ind w:firstLine="640" w:firstLineChars="200"/>
        <w:jc w:val="both"/>
        <w:rPr>
          <w:rFonts w:ascii="仿宋_GB2312" w:hAnsi="仿宋" w:eastAsia="仿宋_GB2312"/>
          <w:sz w:val="32"/>
          <w:szCs w:val="32"/>
        </w:rPr>
      </w:pPr>
      <w:r>
        <w:rPr>
          <w:rFonts w:hint="eastAsia" w:ascii="黑体" w:hAnsi="黑体" w:eastAsia="黑体" w:cs="黑体"/>
          <w:sz w:val="32"/>
          <w:szCs w:val="32"/>
        </w:rPr>
        <w:t>四、一般公共服务支出：</w:t>
      </w:r>
      <w:r>
        <w:rPr>
          <w:rFonts w:hint="eastAsia" w:ascii="仿宋_GB2312" w:hAnsi="仿宋" w:eastAsia="仿宋_GB2312"/>
          <w:sz w:val="32"/>
          <w:szCs w:val="32"/>
        </w:rPr>
        <w:t>反应政府提供一般公共服务的支出。</w:t>
      </w:r>
    </w:p>
    <w:p>
      <w:pPr>
        <w:autoSpaceDE w:val="0"/>
        <w:autoSpaceDN w:val="0"/>
        <w:spacing w:after="0" w:line="560" w:lineRule="exact"/>
        <w:ind w:firstLine="640" w:firstLineChars="200"/>
        <w:jc w:val="both"/>
        <w:rPr>
          <w:rFonts w:ascii="仿宋_GB2312" w:eastAsia="仿宋_GB2312" w:cs="仿宋_GB2312" w:hAnsiTheme="minorHAnsi"/>
          <w:sz w:val="32"/>
          <w:szCs w:val="32"/>
        </w:rPr>
      </w:pPr>
      <w:r>
        <w:rPr>
          <w:rFonts w:hint="eastAsia" w:ascii="黑体" w:hAnsi="黑体" w:eastAsia="黑体"/>
          <w:sz w:val="32"/>
          <w:szCs w:val="32"/>
        </w:rPr>
        <w:t>五、基本支出：</w:t>
      </w:r>
      <w:r>
        <w:rPr>
          <w:rFonts w:hint="eastAsia" w:ascii="仿宋_GB2312" w:hAnsi="仿宋" w:eastAsia="仿宋_GB2312"/>
          <w:sz w:val="32"/>
          <w:szCs w:val="32"/>
        </w:rPr>
        <w:t>指为保障机构正常运转、完成日常工作任务而发生的人员支出和公用支出。</w:t>
      </w:r>
    </w:p>
    <w:p>
      <w:pPr>
        <w:autoSpaceDE w:val="0"/>
        <w:autoSpaceDN w:val="0"/>
        <w:spacing w:after="0" w:line="560" w:lineRule="exact"/>
        <w:ind w:firstLine="640" w:firstLineChars="200"/>
        <w:jc w:val="both"/>
        <w:rPr>
          <w:rFonts w:ascii="仿宋_GB2312" w:hAnsi="仿宋" w:eastAsia="仿宋_GB2312"/>
          <w:sz w:val="32"/>
          <w:szCs w:val="32"/>
        </w:rPr>
      </w:pPr>
      <w:r>
        <w:rPr>
          <w:rFonts w:hint="eastAsia" w:ascii="黑体" w:hAnsi="黑体" w:eastAsia="黑体"/>
          <w:sz w:val="32"/>
          <w:szCs w:val="32"/>
        </w:rPr>
        <w:t>六、项目支出：</w:t>
      </w:r>
      <w:r>
        <w:rPr>
          <w:rFonts w:hint="eastAsia" w:ascii="仿宋_GB2312" w:hAnsi="仿宋" w:eastAsia="仿宋_GB2312"/>
          <w:sz w:val="32"/>
          <w:szCs w:val="32"/>
        </w:rPr>
        <w:t>指在基本支出之外为完成特定行政任务或事业发展目标所发生的支出。</w:t>
      </w:r>
    </w:p>
    <w:p>
      <w:pPr>
        <w:autoSpaceDE w:val="0"/>
        <w:autoSpaceDN w:val="0"/>
        <w:spacing w:after="0" w:line="560" w:lineRule="exact"/>
        <w:ind w:firstLine="640" w:firstLineChars="200"/>
        <w:jc w:val="both"/>
        <w:rPr>
          <w:rFonts w:ascii="仿宋_GB2312" w:hAnsi="仿宋" w:eastAsia="仿宋_GB2312"/>
          <w:sz w:val="32"/>
          <w:szCs w:val="32"/>
        </w:rPr>
      </w:pPr>
      <w:r>
        <w:rPr>
          <w:rFonts w:hint="eastAsia" w:ascii="黑体" w:hAnsi="黑体" w:eastAsia="黑体" w:cs="黑体"/>
          <w:sz w:val="32"/>
          <w:szCs w:val="32"/>
        </w:rPr>
        <w:t>七、住房保障支出：</w:t>
      </w:r>
      <w:r>
        <w:rPr>
          <w:rFonts w:hint="eastAsia" w:ascii="仿宋_GB2312" w:hAnsi="仿宋" w:eastAsia="仿宋_GB2312"/>
          <w:sz w:val="32"/>
          <w:szCs w:val="32"/>
        </w:rPr>
        <w:t>集中反映政府用于住房方面的支出。</w:t>
      </w:r>
    </w:p>
    <w:p>
      <w:pPr>
        <w:autoSpaceDE w:val="0"/>
        <w:autoSpaceDN w:val="0"/>
        <w:spacing w:after="0" w:line="560" w:lineRule="exact"/>
        <w:ind w:firstLine="640" w:firstLineChars="200"/>
        <w:jc w:val="both"/>
        <w:rPr>
          <w:rFonts w:ascii="仿宋_GB2312" w:hAnsi="仿宋" w:eastAsia="仿宋_GB2312"/>
          <w:sz w:val="32"/>
          <w:szCs w:val="32"/>
        </w:rPr>
      </w:pPr>
      <w:r>
        <w:rPr>
          <w:rFonts w:hint="eastAsia" w:ascii="黑体" w:hAnsi="黑体" w:eastAsia="黑体" w:cs="黑体"/>
          <w:sz w:val="32"/>
          <w:szCs w:val="32"/>
        </w:rPr>
        <w:t>八、机关运行</w:t>
      </w:r>
      <w:r>
        <w:rPr>
          <w:rFonts w:hint="eastAsia" w:ascii="黑体" w:hAnsi="黑体" w:eastAsia="黑体"/>
          <w:sz w:val="32"/>
          <w:szCs w:val="32"/>
        </w:rPr>
        <w:t>经费：</w:t>
      </w:r>
      <w:r>
        <w:rPr>
          <w:rFonts w:hint="eastAsia" w:ascii="仿宋_GB2312" w:hAnsi="仿宋" w:eastAsia="仿宋_GB2312"/>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autoSpaceDE w:val="0"/>
        <w:autoSpaceDN w:val="0"/>
        <w:spacing w:after="0" w:line="560" w:lineRule="exact"/>
        <w:ind w:firstLine="640" w:firstLineChars="200"/>
        <w:jc w:val="both"/>
        <w:rPr>
          <w:rFonts w:ascii="仿宋_GB2312" w:hAnsi="宋体" w:eastAsia="仿宋_GB2312"/>
          <w:sz w:val="32"/>
          <w:szCs w:val="32"/>
        </w:rPr>
      </w:pPr>
      <w:r>
        <w:rPr>
          <w:rFonts w:hint="eastAsia" w:ascii="黑体" w:hAnsi="黑体" w:eastAsia="黑体" w:cs="黑体"/>
          <w:sz w:val="32"/>
          <w:szCs w:val="32"/>
        </w:rPr>
        <w:t>九、“三公”经费：</w:t>
      </w:r>
      <w:r>
        <w:rPr>
          <w:rFonts w:hint="eastAsia" w:ascii="仿宋_GB2312" w:hAnsi="宋体" w:eastAsia="仿宋_GB2312" w:cs="宋体"/>
          <w:sz w:val="32"/>
          <w:szCs w:val="32"/>
        </w:rPr>
        <w:t>包括因公出国（境）费、公务接待费和公务用车购置及运行费。因公出国（境）费，指单位工作人员公务出国（境）的住宿费、旅费、伙食补助费、杂费、培训费等支出。公务接待费，指单位按规定开支的各类公务接待（含外宾接待）支出。公务用车购置及运行费，指单位公务用车购置费及租用费、燃料费、维修费、过路过桥费、保险费、安全奖励费用等支出，公务用车指用于履行公务的机动车辆，包括领导干部专车、一般公务用车和执法执勤用车。</w:t>
      </w:r>
    </w:p>
    <w:p>
      <w:pPr>
        <w:spacing w:after="0" w:line="560" w:lineRule="exact"/>
        <w:ind w:firstLine="640" w:firstLineChars="200"/>
        <w:jc w:val="both"/>
        <w:rPr>
          <w:rFonts w:ascii="仿宋_GB2312" w:hAnsi="仿宋" w:eastAsia="仿宋_GB2312"/>
          <w:sz w:val="32"/>
          <w:szCs w:val="32"/>
        </w:rPr>
      </w:pPr>
      <w:r>
        <w:rPr>
          <w:rFonts w:hint="eastAsia" w:ascii="黑体" w:hAnsi="黑体" w:eastAsia="黑体"/>
          <w:sz w:val="32"/>
          <w:szCs w:val="32"/>
        </w:rPr>
        <w:t>十、重点项目：</w:t>
      </w:r>
      <w:r>
        <w:rPr>
          <w:rFonts w:hint="eastAsia" w:ascii="仿宋_GB2312" w:hAnsi="仿宋" w:eastAsia="仿宋_GB2312"/>
          <w:sz w:val="32"/>
          <w:szCs w:val="32"/>
        </w:rPr>
        <w:t>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spacing w:line="220" w:lineRule="atLeast"/>
      </w:pPr>
    </w:p>
    <w:p/>
    <w:p/>
    <w:sectPr>
      <w:footerReference r:id="rId4" w:type="default"/>
      <w:pgSz w:w="11906" w:h="16838"/>
      <w:pgMar w:top="1440" w:right="1800" w:bottom="1440" w:left="1800" w:header="708" w:footer="708" w:gutter="0"/>
      <w:pgNumType w:fmt="numberInDash" w:start="1"/>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decorative"/>
    <w:pitch w:val="default"/>
    <w:sig w:usb0="E1002EFF" w:usb1="C000605B" w:usb2="00000029" w:usb3="00000000" w:csb0="200101FF" w:csb1="20280000"/>
  </w:font>
  <w:font w:name="微软雅黑">
    <w:panose1 w:val="020B0503020204020204"/>
    <w:charset w:val="86"/>
    <w:family w:val="decorative"/>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3</w:t>
                          </w:r>
                          <w:r>
                            <w:rPr>
                              <w:rFonts w:hint="eastAsia" w:ascii="仿宋" w:hAnsi="仿宋" w:eastAsia="仿宋" w:cs="仿宋"/>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3</w:t>
                    </w:r>
                    <w:r>
                      <w:rPr>
                        <w:rFonts w:hint="eastAsia" w:ascii="仿宋" w:hAnsi="仿宋" w:eastAsia="仿宋" w:cs="仿宋"/>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862E47"/>
    <w:rsid w:val="05EB2A1C"/>
    <w:rsid w:val="064A1B7A"/>
    <w:rsid w:val="09416A19"/>
    <w:rsid w:val="0C03439B"/>
    <w:rsid w:val="0C1569BA"/>
    <w:rsid w:val="104A5562"/>
    <w:rsid w:val="16651BE3"/>
    <w:rsid w:val="16CE7C28"/>
    <w:rsid w:val="17771639"/>
    <w:rsid w:val="1F335971"/>
    <w:rsid w:val="1FCD12A5"/>
    <w:rsid w:val="20F35599"/>
    <w:rsid w:val="2A2F5BDA"/>
    <w:rsid w:val="2B074738"/>
    <w:rsid w:val="2E7A7AC2"/>
    <w:rsid w:val="32643F20"/>
    <w:rsid w:val="346D41F8"/>
    <w:rsid w:val="35FD1E17"/>
    <w:rsid w:val="36766189"/>
    <w:rsid w:val="369D5416"/>
    <w:rsid w:val="37465EDF"/>
    <w:rsid w:val="3FA026C8"/>
    <w:rsid w:val="402C3841"/>
    <w:rsid w:val="450B49A7"/>
    <w:rsid w:val="4F3E1808"/>
    <w:rsid w:val="563645C6"/>
    <w:rsid w:val="58CD3D1A"/>
    <w:rsid w:val="619159AE"/>
    <w:rsid w:val="656745A9"/>
    <w:rsid w:val="66253F0F"/>
    <w:rsid w:val="6C82236E"/>
    <w:rsid w:val="6F482D3C"/>
    <w:rsid w:val="71132265"/>
    <w:rsid w:val="776B7C85"/>
    <w:rsid w:val="7A862E47"/>
    <w:rsid w:val="7B7416DA"/>
    <w:rsid w:val="7F8212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pPr>
    <w:rPr>
      <w:sz w:val="18"/>
      <w:szCs w:val="18"/>
    </w:rPr>
  </w:style>
  <w:style w:type="paragraph" w:styleId="3">
    <w:name w:val="header"/>
    <w:basedOn w:val="1"/>
    <w:qFormat/>
    <w:uiPriority w:val="0"/>
    <w:pPr>
      <w:pBdr>
        <w:bottom w:val="single" w:color="auto" w:sz="6" w:space="1"/>
      </w:pBdr>
      <w:tabs>
        <w:tab w:val="center" w:pos="4153"/>
        <w:tab w:val="right" w:pos="8306"/>
      </w:tabs>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2023-02-09T08:48:00Z</dcterms:created>
  <dc:creator>Administrator</dc:creator>
  <cp:lastModifiedBy>Administrator</cp:lastModifiedBy>
  <dcterms:modified xsi:type="dcterms:W3CDTF">2023-02-28T10:07:40Z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