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cs="Times New Roman"/>
          <w:sz w:val="44"/>
          <w:szCs w:val="44"/>
        </w:rPr>
      </w:pPr>
    </w:p>
    <w:p>
      <w:pPr>
        <w:spacing w:line="640" w:lineRule="exact"/>
        <w:jc w:val="both"/>
        <w:rPr>
          <w:rFonts w:ascii="黑体" w:eastAsia="黑体" w:cs="Times New Roman"/>
          <w:b/>
          <w:sz w:val="52"/>
          <w:szCs w:val="52"/>
        </w:rPr>
      </w:pPr>
    </w:p>
    <w:p>
      <w:pPr>
        <w:spacing w:line="64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察隅县妇女联合会2023年度部门预算</w:t>
      </w:r>
    </w:p>
    <w:p>
      <w:pPr>
        <w:rPr>
          <w:rFonts w:ascii="方正小标宋简体" w:hAnsi="方正小标宋简体" w:eastAsia="方正小标宋简体" w:cs="方正小标宋简体"/>
          <w:sz w:val="44"/>
          <w:szCs w:val="44"/>
        </w:rPr>
      </w:pPr>
    </w:p>
    <w:p>
      <w:pPr>
        <w:rPr>
          <w:rFonts w:cs="Times New Roman"/>
          <w:sz w:val="44"/>
          <w:szCs w:val="44"/>
        </w:rPr>
      </w:pPr>
    </w:p>
    <w:p>
      <w:pPr>
        <w:rPr>
          <w:rFonts w:cs="Times New Roman"/>
          <w:sz w:val="44"/>
          <w:szCs w:val="44"/>
        </w:rPr>
      </w:pPr>
    </w:p>
    <w:p>
      <w:pPr>
        <w:rPr>
          <w:rFonts w:cs="Times New Roman"/>
          <w:sz w:val="44"/>
          <w:szCs w:val="44"/>
        </w:rPr>
      </w:pPr>
    </w:p>
    <w:p>
      <w:pPr>
        <w:rPr>
          <w:rFonts w:cs="Times New Roman"/>
          <w:sz w:val="44"/>
          <w:szCs w:val="44"/>
        </w:rPr>
      </w:pPr>
    </w:p>
    <w:p>
      <w:pPr>
        <w:rPr>
          <w:rFonts w:cs="Times New Roman"/>
          <w:sz w:val="44"/>
          <w:szCs w:val="44"/>
        </w:rPr>
      </w:pPr>
    </w:p>
    <w:p>
      <w:pPr>
        <w:rPr>
          <w:rFonts w:cs="Times New Roman"/>
          <w:sz w:val="44"/>
          <w:szCs w:val="44"/>
        </w:rPr>
      </w:pPr>
    </w:p>
    <w:p>
      <w:pPr>
        <w:rPr>
          <w:rFonts w:cs="Times New Roman"/>
          <w:sz w:val="44"/>
          <w:szCs w:val="44"/>
        </w:rPr>
      </w:pPr>
    </w:p>
    <w:p>
      <w:pPr>
        <w:rPr>
          <w:rFonts w:cs="Times New Roman"/>
          <w:sz w:val="44"/>
          <w:szCs w:val="44"/>
        </w:rPr>
      </w:pPr>
    </w:p>
    <w:p>
      <w:pPr>
        <w:rPr>
          <w:rFonts w:cs="Times New Roman"/>
          <w:sz w:val="44"/>
          <w:szCs w:val="44"/>
        </w:rPr>
      </w:pPr>
    </w:p>
    <w:p>
      <w:pPr>
        <w:jc w:val="center"/>
        <w:rPr>
          <w:rFonts w:ascii="仿宋_GB2312" w:hAnsi="仿宋_GB2312" w:eastAsia="仿宋_GB2312" w:cs="仿宋_GB2312"/>
          <w:sz w:val="32"/>
          <w:szCs w:val="32"/>
        </w:rPr>
      </w:pPr>
      <w:r>
        <w:rPr>
          <w:rFonts w:ascii="宋体" w:hAnsi="宋体" w:cs="Times New Roman"/>
          <w:sz w:val="32"/>
          <w:szCs w:val="32"/>
        </w:rPr>
        <w:t xml:space="preserve"> </w:t>
      </w:r>
      <w:r>
        <w:rPr>
          <w:rFonts w:hint="eastAsia" w:ascii="仿宋_GB2312" w:hAnsi="仿宋_GB2312" w:eastAsia="仿宋_GB2312" w:cs="仿宋_GB2312"/>
          <w:sz w:val="32"/>
          <w:szCs w:val="32"/>
        </w:rPr>
        <w:t xml:space="preserve">  </w:t>
      </w: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2023年02月</w:t>
      </w:r>
      <w:r>
        <w:rPr>
          <w:rFonts w:hint="eastAsia" w:ascii="仿宋_GB2312" w:hAnsi="仿宋_GB2312" w:eastAsia="仿宋_GB2312" w:cs="仿宋_GB2312"/>
          <w:sz w:val="32"/>
          <w:szCs w:val="32"/>
          <w:lang w:val="en-US" w:eastAsia="zh-CN"/>
        </w:rPr>
        <w:t>16</w:t>
      </w:r>
      <w:r>
        <w:rPr>
          <w:rFonts w:hint="eastAsia" w:ascii="仿宋_GB2312" w:hAnsi="仿宋_GB2312" w:eastAsia="仿宋_GB2312" w:cs="仿宋_GB2312"/>
          <w:sz w:val="32"/>
          <w:szCs w:val="32"/>
        </w:rPr>
        <w:t>日</w:t>
      </w:r>
    </w:p>
    <w:p>
      <w:pPr>
        <w:rPr>
          <w:rFonts w:cs="Times New Roman"/>
          <w:sz w:val="44"/>
          <w:szCs w:val="44"/>
        </w:rPr>
      </w:pPr>
    </w:p>
    <w:p>
      <w:pPr>
        <w:jc w:val="center"/>
        <w:rPr>
          <w:rFonts w:ascii="黑体" w:hAnsi="黑体" w:eastAsia="黑体"/>
          <w:b/>
          <w:snapToGrid w:val="0"/>
          <w:w w:val="95"/>
          <w:sz w:val="44"/>
          <w:szCs w:val="44"/>
        </w:rPr>
      </w:pPr>
    </w:p>
    <w:p>
      <w:pPr>
        <w:jc w:val="center"/>
        <w:rPr>
          <w:rFonts w:ascii="黑体" w:hAnsi="黑体" w:eastAsia="黑体"/>
          <w:b/>
          <w:snapToGrid w:val="0"/>
          <w:w w:val="95"/>
          <w:sz w:val="44"/>
          <w:szCs w:val="44"/>
        </w:rPr>
      </w:pPr>
    </w:p>
    <w:p>
      <w:pPr>
        <w:jc w:val="center"/>
        <w:rPr>
          <w:rFonts w:ascii="方正小标宋简体" w:hAnsi="方正小标宋简体" w:eastAsia="方正小标宋简体" w:cs="方正小标宋简体"/>
          <w:b/>
          <w:snapToGrid w:val="0"/>
          <w:w w:val="95"/>
          <w:sz w:val="44"/>
          <w:szCs w:val="44"/>
        </w:rPr>
      </w:pPr>
      <w:r>
        <w:rPr>
          <w:rFonts w:hint="eastAsia" w:ascii="方正小标宋简体" w:hAnsi="方正小标宋简体" w:eastAsia="方正小标宋简体" w:cs="方正小标宋简体"/>
          <w:bCs/>
          <w:snapToGrid w:val="0"/>
          <w:w w:val="95"/>
          <w:sz w:val="44"/>
          <w:szCs w:val="44"/>
        </w:rPr>
        <w:t>目    录</w:t>
      </w:r>
    </w:p>
    <w:p>
      <w:pPr>
        <w:spacing w:after="0" w:line="560" w:lineRule="exact"/>
        <w:rPr>
          <w:rFonts w:hint="eastAsia" w:ascii="黑体" w:hAnsi="黑体" w:eastAsia="黑体" w:cs="黑体"/>
          <w:bCs/>
          <w:snapToGrid w:val="0"/>
          <w:w w:val="95"/>
          <w:sz w:val="32"/>
          <w:szCs w:val="32"/>
        </w:rPr>
      </w:pPr>
    </w:p>
    <w:p>
      <w:pPr>
        <w:spacing w:after="0" w:line="560" w:lineRule="exact"/>
        <w:rPr>
          <w:rFonts w:ascii="黑体" w:hAnsi="黑体" w:eastAsia="黑体" w:cs="黑体"/>
          <w:bCs/>
          <w:snapToGrid w:val="0"/>
          <w:w w:val="95"/>
          <w:sz w:val="32"/>
          <w:szCs w:val="32"/>
        </w:rPr>
      </w:pPr>
      <w:r>
        <w:rPr>
          <w:rFonts w:hint="eastAsia" w:ascii="黑体" w:hAnsi="黑体" w:eastAsia="黑体" w:cs="黑体"/>
          <w:bCs/>
          <w:snapToGrid w:val="0"/>
          <w:w w:val="95"/>
          <w:sz w:val="32"/>
          <w:szCs w:val="32"/>
        </w:rPr>
        <w:t>第一部分  察隅县妇女联合会概况</w:t>
      </w:r>
    </w:p>
    <w:p>
      <w:pPr>
        <w:spacing w:after="0"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一、主要职能</w:t>
      </w:r>
    </w:p>
    <w:p>
      <w:pPr>
        <w:spacing w:after="0"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二、部门预算单位构成</w:t>
      </w:r>
    </w:p>
    <w:p>
      <w:pPr>
        <w:spacing w:after="0" w:line="560" w:lineRule="exact"/>
        <w:rPr>
          <w:rFonts w:ascii="黑体" w:hAnsi="黑体" w:eastAsia="黑体" w:cs="黑体"/>
          <w:bCs/>
          <w:snapToGrid w:val="0"/>
          <w:w w:val="95"/>
          <w:sz w:val="32"/>
          <w:szCs w:val="32"/>
        </w:rPr>
      </w:pPr>
      <w:r>
        <w:rPr>
          <w:rFonts w:hint="eastAsia" w:ascii="黑体" w:hAnsi="黑体" w:eastAsia="黑体" w:cs="黑体"/>
          <w:bCs/>
          <w:snapToGrid w:val="0"/>
          <w:w w:val="95"/>
          <w:sz w:val="32"/>
          <w:szCs w:val="32"/>
        </w:rPr>
        <w:t>第二部分  察隅县妇女联合会2023年度部门预算明细表</w:t>
      </w:r>
    </w:p>
    <w:p>
      <w:pPr>
        <w:spacing w:after="0"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一、部门收支总体情况表</w:t>
      </w:r>
    </w:p>
    <w:p>
      <w:pPr>
        <w:spacing w:after="0"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二、部门收入总体情况表</w:t>
      </w:r>
    </w:p>
    <w:p>
      <w:pPr>
        <w:spacing w:after="0"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三、部门支出总体情况表</w:t>
      </w:r>
    </w:p>
    <w:p>
      <w:pPr>
        <w:spacing w:after="0"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四、财政拨款收支总体情况表</w:t>
      </w:r>
    </w:p>
    <w:p>
      <w:pPr>
        <w:spacing w:after="0"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五、一般公共预算支出情况表（按功能分类科目）</w:t>
      </w:r>
    </w:p>
    <w:p>
      <w:pPr>
        <w:spacing w:after="0"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六、一般公共预算基本支出情况表（按经济分类款级科目）</w:t>
      </w:r>
    </w:p>
    <w:p>
      <w:pPr>
        <w:spacing w:after="0"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七、一般公共预算“三公”经费支出情况表</w:t>
      </w:r>
    </w:p>
    <w:p>
      <w:pPr>
        <w:spacing w:after="0"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八、政府性基金“三公”经费支出情况表</w:t>
      </w:r>
    </w:p>
    <w:p>
      <w:pPr>
        <w:spacing w:after="0"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九、政府性基金预算支出情况表</w:t>
      </w:r>
    </w:p>
    <w:p>
      <w:pPr>
        <w:spacing w:after="0"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十、项目支出绩效表</w:t>
      </w:r>
    </w:p>
    <w:p>
      <w:pPr>
        <w:spacing w:after="0"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十一、政府购买服务预算表</w:t>
      </w:r>
    </w:p>
    <w:p>
      <w:pPr>
        <w:spacing w:after="0" w:line="560" w:lineRule="exact"/>
        <w:rPr>
          <w:rFonts w:ascii="黑体" w:hAnsi="黑体" w:eastAsia="黑体" w:cs="黑体"/>
          <w:bCs/>
          <w:snapToGrid w:val="0"/>
          <w:w w:val="95"/>
          <w:sz w:val="32"/>
          <w:szCs w:val="32"/>
        </w:rPr>
      </w:pPr>
      <w:r>
        <w:rPr>
          <w:rFonts w:hint="eastAsia" w:ascii="黑体" w:hAnsi="黑体" w:eastAsia="黑体" w:cs="黑体"/>
          <w:bCs/>
          <w:snapToGrid w:val="0"/>
          <w:w w:val="95"/>
          <w:sz w:val="32"/>
          <w:szCs w:val="32"/>
        </w:rPr>
        <w:t>第三部分  察隅县妇女联合会2023年度部门预算数据分析</w:t>
      </w:r>
    </w:p>
    <w:p>
      <w:pPr>
        <w:spacing w:after="0" w:line="560" w:lineRule="exact"/>
        <w:rPr>
          <w:rFonts w:ascii="黑体" w:hAnsi="黑体" w:eastAsia="黑体" w:cs="黑体"/>
          <w:bCs/>
          <w:snapToGrid w:val="0"/>
          <w:w w:val="95"/>
          <w:sz w:val="32"/>
          <w:szCs w:val="32"/>
        </w:rPr>
      </w:pPr>
      <w:r>
        <w:rPr>
          <w:rFonts w:hint="eastAsia" w:ascii="黑体" w:hAnsi="黑体" w:eastAsia="黑体" w:cs="黑体"/>
          <w:bCs/>
          <w:snapToGrid w:val="0"/>
          <w:w w:val="95"/>
          <w:sz w:val="32"/>
          <w:szCs w:val="32"/>
        </w:rPr>
        <w:t>第四部分  名词解释</w:t>
      </w:r>
    </w:p>
    <w:p>
      <w:pPr>
        <w:spacing w:after="0" w:line="560" w:lineRule="exact"/>
        <w:jc w:val="both"/>
        <w:rPr>
          <w:rFonts w:ascii="黑体" w:hAnsi="黑体" w:eastAsia="黑体" w:cs="黑体"/>
          <w:bCs/>
          <w:snapToGrid w:val="0"/>
          <w:w w:val="95"/>
          <w:sz w:val="32"/>
          <w:szCs w:val="32"/>
        </w:rPr>
      </w:pPr>
      <w:r>
        <w:rPr>
          <w:rFonts w:hint="eastAsia" w:ascii="黑体" w:hAnsi="黑体" w:eastAsia="黑体" w:cs="黑体"/>
          <w:bCs/>
          <w:snapToGrid w:val="0"/>
          <w:w w:val="95"/>
          <w:sz w:val="32"/>
          <w:szCs w:val="32"/>
        </w:rPr>
        <w:t>附件：</w:t>
      </w:r>
    </w:p>
    <w:p>
      <w:pPr>
        <w:spacing w:after="0" w:line="560" w:lineRule="exact"/>
        <w:jc w:val="both"/>
        <w:rPr>
          <w:rFonts w:ascii="仿宋_GB2312" w:hAnsi="仿宋_GB2312" w:eastAsia="仿宋_GB2312" w:cs="仿宋_GB2312"/>
          <w:snapToGrid w:val="0"/>
          <w:w w:val="95"/>
          <w:sz w:val="32"/>
          <w:szCs w:val="32"/>
        </w:rPr>
      </w:pPr>
      <w:r>
        <w:rPr>
          <w:rFonts w:hint="eastAsia" w:ascii="仿宋_GB2312" w:hAnsi="仿宋_GB2312" w:eastAsia="仿宋_GB2312" w:cs="仿宋_GB2312"/>
          <w:snapToGrid w:val="0"/>
          <w:w w:val="95"/>
          <w:sz w:val="32"/>
          <w:szCs w:val="32"/>
        </w:rPr>
        <w:t>察隅县妇女联合会（部门）2023年度部门预算明细表（含十一张表）</w:t>
      </w:r>
    </w:p>
    <w:p>
      <w:pPr>
        <w:rPr>
          <w:rFonts w:ascii="宋体" w:hAnsi="宋体"/>
          <w:b/>
          <w:snapToGrid w:val="0"/>
          <w:w w:val="95"/>
          <w:sz w:val="44"/>
          <w:szCs w:val="44"/>
        </w:rPr>
      </w:pPr>
    </w:p>
    <w:p>
      <w:pPr>
        <w:spacing w:after="0" w:line="560" w:lineRule="exact"/>
        <w:jc w:val="center"/>
        <w:rPr>
          <w:rFonts w:ascii="方正小标宋简体" w:hAnsi="方正小标宋简体" w:eastAsia="方正小标宋简体" w:cs="方正小标宋简体"/>
          <w:bCs/>
          <w:snapToGrid w:val="0"/>
          <w:w w:val="95"/>
          <w:sz w:val="44"/>
          <w:szCs w:val="44"/>
        </w:rPr>
        <w:sectPr>
          <w:pgSz w:w="11906" w:h="16838"/>
          <w:pgMar w:top="1440" w:right="1800" w:bottom="1440" w:left="1800" w:header="708" w:footer="708" w:gutter="0"/>
          <w:cols w:space="708" w:num="1"/>
          <w:docGrid w:linePitch="360" w:charSpace="0"/>
        </w:sectPr>
      </w:pPr>
    </w:p>
    <w:p>
      <w:pPr>
        <w:spacing w:after="0" w:line="560" w:lineRule="exact"/>
        <w:jc w:val="center"/>
        <w:rPr>
          <w:rFonts w:ascii="方正小标宋简体" w:hAnsi="方正小标宋简体" w:eastAsia="方正小标宋简体" w:cs="方正小标宋简体"/>
          <w:bCs/>
          <w:snapToGrid w:val="0"/>
          <w:w w:val="95"/>
          <w:sz w:val="44"/>
          <w:szCs w:val="44"/>
        </w:rPr>
      </w:pPr>
      <w:r>
        <w:rPr>
          <w:rFonts w:hint="eastAsia" w:ascii="方正小标宋简体" w:hAnsi="方正小标宋简体" w:eastAsia="方正小标宋简体" w:cs="方正小标宋简体"/>
          <w:bCs/>
          <w:snapToGrid w:val="0"/>
          <w:w w:val="95"/>
          <w:sz w:val="44"/>
          <w:szCs w:val="44"/>
        </w:rPr>
        <w:t>第一部分  察隅县妇女联合会（部门）概况</w:t>
      </w:r>
    </w:p>
    <w:p>
      <w:pPr>
        <w:spacing w:line="560" w:lineRule="exact"/>
        <w:jc w:val="both"/>
        <w:rPr>
          <w:rFonts w:ascii="黑体" w:hAnsi="黑体" w:eastAsia="黑体"/>
          <w:b/>
          <w:snapToGrid w:val="0"/>
          <w:w w:val="95"/>
          <w:sz w:val="44"/>
          <w:szCs w:val="44"/>
        </w:rPr>
      </w:pPr>
    </w:p>
    <w:p>
      <w:pPr>
        <w:spacing w:after="0" w:line="560" w:lineRule="exact"/>
        <w:ind w:firstLine="640" w:firstLineChars="200"/>
        <w:jc w:val="both"/>
        <w:rPr>
          <w:rFonts w:ascii="黑体" w:hAnsi="黑体" w:eastAsia="黑体" w:cs="Times New Roman"/>
          <w:sz w:val="32"/>
          <w:szCs w:val="32"/>
        </w:rPr>
      </w:pPr>
      <w:r>
        <w:rPr>
          <w:rFonts w:hint="eastAsia" w:ascii="黑体" w:hAnsi="黑体" w:eastAsia="黑体" w:cs="Times New Roman"/>
          <w:sz w:val="32"/>
          <w:szCs w:val="32"/>
        </w:rPr>
        <w:t xml:space="preserve">一、预算单位构成    </w:t>
      </w:r>
    </w:p>
    <w:p>
      <w:pPr>
        <w:spacing w:after="0" w:line="560" w:lineRule="exact"/>
        <w:ind w:firstLine="640" w:firstLineChars="200"/>
        <w:jc w:val="both"/>
        <w:rPr>
          <w:rFonts w:ascii="仿宋_GB2312" w:hAnsi="宋体" w:eastAsia="仿宋_GB2312" w:cs="Times New Roman"/>
          <w:sz w:val="32"/>
          <w:szCs w:val="32"/>
        </w:rPr>
      </w:pPr>
      <w:r>
        <w:rPr>
          <w:rFonts w:hint="eastAsia" w:ascii="仿宋_GB2312" w:hAnsi="宋体" w:eastAsia="仿宋_GB2312"/>
          <w:sz w:val="32"/>
          <w:szCs w:val="32"/>
        </w:rPr>
        <w:t>察隅</w:t>
      </w:r>
      <w:r>
        <w:rPr>
          <w:rFonts w:hint="eastAsia" w:ascii="仿宋_GB2312" w:hAnsi="宋体" w:eastAsia="仿宋_GB2312" w:cs="Times New Roman"/>
          <w:sz w:val="32"/>
          <w:szCs w:val="32"/>
        </w:rPr>
        <w:t>县妇女联合会，正科级建制，是县委领导下的全县各族各界妇女群众联合起来的群团组织，是党和政府联系妇女群众的桥梁和纽带。</w:t>
      </w:r>
    </w:p>
    <w:p>
      <w:pPr>
        <w:spacing w:after="0" w:line="560" w:lineRule="exact"/>
        <w:ind w:firstLine="640" w:firstLineChars="200"/>
        <w:jc w:val="both"/>
        <w:rPr>
          <w:rFonts w:ascii="黑体" w:hAnsi="宋体" w:eastAsia="黑体" w:cs="Times New Roman"/>
          <w:sz w:val="32"/>
          <w:szCs w:val="32"/>
        </w:rPr>
      </w:pPr>
      <w:r>
        <w:rPr>
          <w:rFonts w:hint="eastAsia" w:ascii="黑体" w:hAnsi="宋体" w:eastAsia="黑体" w:cs="Times New Roman"/>
          <w:sz w:val="32"/>
          <w:szCs w:val="32"/>
        </w:rPr>
        <w:t>二、部门职责和机构设置</w:t>
      </w:r>
    </w:p>
    <w:p>
      <w:pPr>
        <w:spacing w:after="0" w:line="560" w:lineRule="exact"/>
        <w:ind w:firstLine="640" w:firstLineChars="200"/>
        <w:jc w:val="both"/>
        <w:rPr>
          <w:rFonts w:ascii="楷体_GB2312" w:hAnsi="楷体_GB2312" w:eastAsia="楷体_GB2312" w:cs="楷体_GB2312"/>
          <w:sz w:val="32"/>
          <w:szCs w:val="32"/>
        </w:rPr>
      </w:pPr>
      <w:r>
        <w:rPr>
          <w:rFonts w:hint="eastAsia" w:ascii="楷体_GB2312" w:hAnsi="楷体_GB2312" w:eastAsia="楷体_GB2312" w:cs="楷体_GB2312"/>
          <w:sz w:val="32"/>
          <w:szCs w:val="32"/>
        </w:rPr>
        <w:t>（一）部门职责</w:t>
      </w:r>
    </w:p>
    <w:p>
      <w:pPr>
        <w:spacing w:after="0" w:line="560" w:lineRule="exact"/>
        <w:ind w:firstLine="640" w:firstLineChars="200"/>
        <w:jc w:val="both"/>
        <w:rPr>
          <w:rFonts w:ascii="仿宋_GB2312" w:hAnsi="宋体" w:eastAsia="仿宋_GB2312" w:cs="Times New Roman"/>
          <w:sz w:val="32"/>
          <w:szCs w:val="32"/>
        </w:rPr>
      </w:pPr>
      <w:r>
        <w:rPr>
          <w:rFonts w:hint="eastAsia" w:ascii="仿宋_GB2312" w:hAnsi="宋体" w:eastAsia="仿宋_GB2312" w:cs="Times New Roman"/>
          <w:sz w:val="32"/>
          <w:szCs w:val="32"/>
        </w:rPr>
        <w:t>1</w:t>
      </w:r>
      <w:r>
        <w:rPr>
          <w:rFonts w:hint="eastAsia" w:ascii="仿宋_GB2312" w:hAnsi="宋体" w:eastAsia="仿宋_GB2312" w:cs="Times New Roman"/>
          <w:sz w:val="32"/>
          <w:szCs w:val="32"/>
          <w:lang w:val="en-US" w:eastAsia="zh-CN"/>
        </w:rPr>
        <w:t>.</w:t>
      </w:r>
      <w:r>
        <w:rPr>
          <w:rFonts w:hint="eastAsia" w:ascii="仿宋_GB2312" w:hAnsi="宋体" w:eastAsia="仿宋_GB2312" w:cs="Times New Roman"/>
          <w:sz w:val="32"/>
          <w:szCs w:val="32"/>
        </w:rPr>
        <w:t>坚持正确的政治方向，组织引导妇女学习贯彻习近平新时代中国特色社会主义思想和党的路线方针政策，用中国特色社会主义共同理想凝聚妇女，团结引导全县各族各界妇女始终做到听党话、跟党走。</w:t>
      </w:r>
    </w:p>
    <w:p>
      <w:pPr>
        <w:spacing w:after="0" w:line="560" w:lineRule="exact"/>
        <w:ind w:firstLine="640" w:firstLineChars="200"/>
        <w:jc w:val="both"/>
        <w:rPr>
          <w:rFonts w:ascii="仿宋_GB2312" w:hAnsi="宋体" w:eastAsia="仿宋_GB2312" w:cs="Times New Roman"/>
          <w:sz w:val="32"/>
          <w:szCs w:val="32"/>
        </w:rPr>
      </w:pPr>
      <w:r>
        <w:rPr>
          <w:rFonts w:hint="eastAsia" w:ascii="仿宋_GB2312" w:hAnsi="宋体" w:eastAsia="仿宋_GB2312" w:cs="Times New Roman"/>
          <w:sz w:val="32"/>
          <w:szCs w:val="32"/>
        </w:rPr>
        <w:t>2</w:t>
      </w:r>
      <w:r>
        <w:rPr>
          <w:rFonts w:hint="eastAsia" w:ascii="仿宋_GB2312" w:hAnsi="宋体" w:eastAsia="仿宋_GB2312" w:cs="Times New Roman"/>
          <w:sz w:val="32"/>
          <w:szCs w:val="32"/>
          <w:lang w:val="en-US" w:eastAsia="zh-CN"/>
        </w:rPr>
        <w:t>.</w:t>
      </w:r>
      <w:r>
        <w:rPr>
          <w:rFonts w:hint="eastAsia" w:ascii="仿宋_GB2312" w:hAnsi="宋体" w:eastAsia="仿宋_GB2312" w:cs="Times New Roman"/>
          <w:sz w:val="32"/>
          <w:szCs w:val="32"/>
        </w:rPr>
        <w:t>紧密围绕党和政府的中心任务开展工作，团结动员妇女投身改革开放和社会主义</w:t>
      </w:r>
      <w:r>
        <w:rPr>
          <w:rFonts w:hint="eastAsia" w:ascii="仿宋_GB2312" w:hAnsi="宋体" w:eastAsia="仿宋_GB2312"/>
          <w:sz w:val="32"/>
          <w:szCs w:val="32"/>
        </w:rPr>
        <w:t>察隅</w:t>
      </w:r>
      <w:r>
        <w:rPr>
          <w:rFonts w:hint="eastAsia" w:ascii="仿宋_GB2312" w:hAnsi="宋体" w:eastAsia="仿宋_GB2312" w:cs="Times New Roman"/>
          <w:sz w:val="32"/>
          <w:szCs w:val="32"/>
        </w:rPr>
        <w:t>经济建设、政治建设、文化建设、社会建设和生态文明建设，注重发挥妇女在社会生活和家庭生活中的独特作用，为</w:t>
      </w:r>
      <w:r>
        <w:rPr>
          <w:rFonts w:hint="eastAsia" w:ascii="仿宋_GB2312" w:hAnsi="宋体" w:eastAsia="仿宋_GB2312"/>
          <w:sz w:val="32"/>
          <w:szCs w:val="32"/>
        </w:rPr>
        <w:t>察隅</w:t>
      </w:r>
      <w:r>
        <w:rPr>
          <w:rFonts w:hint="eastAsia" w:ascii="仿宋_GB2312" w:hAnsi="宋体" w:eastAsia="仿宋_GB2312" w:cs="Times New Roman"/>
          <w:sz w:val="32"/>
          <w:szCs w:val="32"/>
        </w:rPr>
        <w:t>经济社会长足发展和长治久安作贡献。</w:t>
      </w:r>
    </w:p>
    <w:p>
      <w:pPr>
        <w:spacing w:after="0" w:line="560" w:lineRule="exact"/>
        <w:ind w:firstLine="640" w:firstLineChars="200"/>
        <w:jc w:val="both"/>
        <w:rPr>
          <w:rFonts w:ascii="仿宋_GB2312" w:hAnsi="宋体" w:eastAsia="仿宋_GB2312" w:cs="Times New Roman"/>
          <w:sz w:val="32"/>
          <w:szCs w:val="32"/>
        </w:rPr>
      </w:pPr>
      <w:r>
        <w:rPr>
          <w:rFonts w:hint="eastAsia" w:ascii="仿宋_GB2312" w:hAnsi="宋体" w:eastAsia="仿宋_GB2312" w:cs="Times New Roman"/>
          <w:sz w:val="32"/>
          <w:szCs w:val="32"/>
        </w:rPr>
        <w:t>3</w:t>
      </w:r>
      <w:r>
        <w:rPr>
          <w:rFonts w:hint="eastAsia" w:ascii="仿宋_GB2312" w:hAnsi="宋体" w:eastAsia="仿宋_GB2312" w:cs="Times New Roman"/>
          <w:sz w:val="32"/>
          <w:szCs w:val="32"/>
          <w:lang w:val="en-US" w:eastAsia="zh-CN"/>
        </w:rPr>
        <w:t>.</w:t>
      </w:r>
      <w:r>
        <w:rPr>
          <w:rFonts w:hint="eastAsia" w:ascii="仿宋_GB2312" w:hAnsi="宋体" w:eastAsia="仿宋_GB2312" w:cs="Times New Roman"/>
          <w:sz w:val="32"/>
          <w:szCs w:val="32"/>
        </w:rPr>
        <w:t>代表妇女参与管理国家事务、管理经济和文化事业、管理社会事务，参与民主决策、民主管理、民主监督，贯彻执行有关地方性法规、政府规章，参与社会治理和公共服务，推动保障妇女权益法律政策和妇女、儿童发展纲要在全县有效实施。</w:t>
      </w:r>
    </w:p>
    <w:p>
      <w:pPr>
        <w:spacing w:after="0" w:line="560" w:lineRule="exact"/>
        <w:ind w:firstLine="640" w:firstLineChars="200"/>
        <w:jc w:val="both"/>
        <w:rPr>
          <w:rFonts w:ascii="仿宋_GB2312" w:hAnsi="宋体" w:eastAsia="仿宋_GB2312" w:cs="Times New Roman"/>
          <w:sz w:val="32"/>
          <w:szCs w:val="32"/>
        </w:rPr>
      </w:pPr>
      <w:r>
        <w:rPr>
          <w:rFonts w:hint="eastAsia" w:ascii="仿宋_GB2312" w:hAnsi="宋体" w:eastAsia="仿宋_GB2312" w:cs="Times New Roman"/>
          <w:sz w:val="32"/>
          <w:szCs w:val="32"/>
        </w:rPr>
        <w:t>4</w:t>
      </w:r>
      <w:r>
        <w:rPr>
          <w:rFonts w:hint="eastAsia" w:ascii="仿宋_GB2312" w:hAnsi="宋体" w:eastAsia="仿宋_GB2312" w:cs="Times New Roman"/>
          <w:sz w:val="32"/>
          <w:szCs w:val="32"/>
          <w:lang w:val="en-US" w:eastAsia="zh-CN"/>
        </w:rPr>
        <w:t>.</w:t>
      </w:r>
      <w:r>
        <w:rPr>
          <w:rFonts w:hint="eastAsia" w:ascii="仿宋_GB2312" w:hAnsi="宋体" w:eastAsia="仿宋_GB2312" w:cs="Times New Roman"/>
          <w:sz w:val="32"/>
          <w:szCs w:val="32"/>
        </w:rPr>
        <w:t>维护妇女儿童合法权益，倾听妇女意见，反映妇女诉求，向有关部门或单位提出有关建议，要求并协助有关部门或单位查处侵害妇女儿童权益的行为，为受侵害的妇女儿童提供帮助。</w:t>
      </w:r>
    </w:p>
    <w:p>
      <w:pPr>
        <w:spacing w:after="0" w:line="560" w:lineRule="exact"/>
        <w:ind w:firstLine="640" w:firstLineChars="200"/>
        <w:jc w:val="both"/>
        <w:rPr>
          <w:rFonts w:ascii="仿宋_GB2312" w:hAnsi="宋体" w:eastAsia="仿宋_GB2312" w:cs="Times New Roman"/>
          <w:sz w:val="32"/>
          <w:szCs w:val="32"/>
        </w:rPr>
      </w:pPr>
      <w:r>
        <w:rPr>
          <w:rFonts w:hint="eastAsia" w:ascii="仿宋_GB2312" w:hAnsi="宋体" w:eastAsia="仿宋_GB2312" w:cs="Times New Roman"/>
          <w:sz w:val="32"/>
          <w:szCs w:val="32"/>
        </w:rPr>
        <w:t>5</w:t>
      </w:r>
      <w:r>
        <w:rPr>
          <w:rFonts w:hint="eastAsia" w:ascii="仿宋_GB2312" w:hAnsi="宋体" w:eastAsia="仿宋_GB2312" w:cs="Times New Roman"/>
          <w:sz w:val="32"/>
          <w:szCs w:val="32"/>
          <w:lang w:val="en-US" w:eastAsia="zh-CN"/>
        </w:rPr>
        <w:t>.</w:t>
      </w:r>
      <w:r>
        <w:rPr>
          <w:rFonts w:hint="eastAsia" w:ascii="仿宋_GB2312" w:hAnsi="宋体" w:eastAsia="仿宋_GB2312" w:cs="Times New Roman"/>
          <w:sz w:val="32"/>
          <w:szCs w:val="32"/>
        </w:rPr>
        <w:t>宣传马克思主义妇女观，推动落实男女平等基本国策，营造有利于妇女全面发展的社会环境。教育引导妇女树立自尊、自信、自立、自强的精神，提高综合素质，实现全面发展。宣传表彰优秀妇女典型，培养、推荐女性人才。</w:t>
      </w:r>
    </w:p>
    <w:p>
      <w:pPr>
        <w:spacing w:after="0" w:line="560" w:lineRule="exact"/>
        <w:ind w:firstLine="640" w:firstLineChars="200"/>
        <w:jc w:val="both"/>
        <w:rPr>
          <w:rFonts w:ascii="仿宋_GB2312" w:hAnsi="宋体" w:eastAsia="仿宋_GB2312" w:cs="Times New Roman"/>
          <w:sz w:val="32"/>
          <w:szCs w:val="32"/>
        </w:rPr>
      </w:pPr>
      <w:r>
        <w:rPr>
          <w:rFonts w:hint="eastAsia" w:ascii="仿宋_GB2312" w:hAnsi="宋体" w:eastAsia="仿宋_GB2312" w:cs="Times New Roman"/>
          <w:sz w:val="32"/>
          <w:szCs w:val="32"/>
        </w:rPr>
        <w:t>6</w:t>
      </w:r>
      <w:r>
        <w:rPr>
          <w:rFonts w:hint="eastAsia" w:ascii="仿宋_GB2312" w:hAnsi="宋体" w:eastAsia="仿宋_GB2312" w:cs="Times New Roman"/>
          <w:sz w:val="32"/>
          <w:szCs w:val="32"/>
          <w:lang w:val="en-US" w:eastAsia="zh-CN"/>
        </w:rPr>
        <w:t>.</w:t>
      </w:r>
      <w:r>
        <w:rPr>
          <w:rFonts w:hint="eastAsia" w:ascii="仿宋_GB2312" w:hAnsi="宋体" w:eastAsia="仿宋_GB2312" w:cs="Times New Roman"/>
          <w:sz w:val="32"/>
          <w:szCs w:val="32"/>
        </w:rPr>
        <w:t>教育引导妇女践行社会主义核心价值观，弘扬中华优秀文化，组织开展家庭文明创建，支持服务家庭教育，传承中华民族家庭美德，树立良好家风，推动形成家庭文明新风尚。加强和发展妇女爱国统一战线工作，维护祖国统一和民族团结。</w:t>
      </w:r>
    </w:p>
    <w:p>
      <w:pPr>
        <w:spacing w:after="0" w:line="560" w:lineRule="exact"/>
        <w:ind w:firstLine="640" w:firstLineChars="200"/>
        <w:jc w:val="both"/>
        <w:rPr>
          <w:rFonts w:ascii="仿宋_GB2312" w:hAnsi="宋体" w:eastAsia="仿宋_GB2312" w:cs="Times New Roman"/>
          <w:sz w:val="32"/>
          <w:szCs w:val="32"/>
        </w:rPr>
      </w:pPr>
      <w:r>
        <w:rPr>
          <w:rFonts w:hint="eastAsia" w:ascii="仿宋_GB2312" w:hAnsi="宋体" w:eastAsia="仿宋_GB2312" w:cs="Times New Roman"/>
          <w:sz w:val="32"/>
          <w:szCs w:val="32"/>
        </w:rPr>
        <w:t>7</w:t>
      </w:r>
      <w:r>
        <w:rPr>
          <w:rFonts w:hint="eastAsia" w:ascii="仿宋_GB2312" w:hAnsi="宋体" w:eastAsia="仿宋_GB2312" w:cs="Times New Roman"/>
          <w:sz w:val="32"/>
          <w:szCs w:val="32"/>
          <w:lang w:val="en-US" w:eastAsia="zh-CN"/>
        </w:rPr>
        <w:t>.</w:t>
      </w:r>
      <w:r>
        <w:rPr>
          <w:rFonts w:hint="eastAsia" w:ascii="仿宋_GB2312" w:hAnsi="宋体" w:eastAsia="仿宋_GB2312" w:cs="Times New Roman"/>
          <w:sz w:val="32"/>
          <w:szCs w:val="32"/>
        </w:rPr>
        <w:t>关心妇女工作生活，拓宽服务渠道，创新服务方式，建设服务阵地，发展公益事业，壮大巾帼志愿者队伍，加强妇女之家建设。联系和引导女性社会组织，加强与社会各界的协作，推动全社会为妇女儿童和家庭服务。</w:t>
      </w:r>
    </w:p>
    <w:p>
      <w:pPr>
        <w:spacing w:after="0" w:line="560" w:lineRule="exact"/>
        <w:ind w:firstLine="640" w:firstLineChars="200"/>
        <w:jc w:val="both"/>
        <w:rPr>
          <w:rFonts w:ascii="仿宋_GB2312" w:hAnsi="宋体" w:eastAsia="仿宋_GB2312" w:cs="Times New Roman"/>
          <w:sz w:val="32"/>
          <w:szCs w:val="32"/>
        </w:rPr>
      </w:pPr>
      <w:r>
        <w:rPr>
          <w:rFonts w:hint="eastAsia" w:ascii="仿宋_GB2312" w:hAnsi="宋体" w:eastAsia="仿宋_GB2312" w:cs="Times New Roman"/>
          <w:sz w:val="32"/>
          <w:szCs w:val="32"/>
        </w:rPr>
        <w:t>8</w:t>
      </w:r>
      <w:r>
        <w:rPr>
          <w:rFonts w:hint="eastAsia" w:ascii="仿宋_GB2312" w:hAnsi="宋体" w:eastAsia="仿宋_GB2312" w:cs="Times New Roman"/>
          <w:sz w:val="32"/>
          <w:szCs w:val="32"/>
          <w:lang w:val="en-US" w:eastAsia="zh-CN"/>
        </w:rPr>
        <w:t>.</w:t>
      </w:r>
      <w:r>
        <w:rPr>
          <w:rFonts w:hint="eastAsia" w:ascii="仿宋_GB2312" w:hAnsi="宋体" w:eastAsia="仿宋_GB2312" w:cs="Times New Roman"/>
          <w:sz w:val="32"/>
          <w:szCs w:val="32"/>
        </w:rPr>
        <w:t>指导乡(镇)妇女组织依据《中华全国妇女联合会章程》和全县妇女代表大会的任务，开展妇女儿童工作，联系基层妇联组织并给予工作指导。</w:t>
      </w:r>
    </w:p>
    <w:p>
      <w:pPr>
        <w:spacing w:after="0" w:line="560" w:lineRule="exact"/>
        <w:ind w:firstLine="640" w:firstLineChars="200"/>
        <w:jc w:val="both"/>
        <w:rPr>
          <w:rFonts w:ascii="仿宋_GB2312" w:hAnsi="宋体" w:eastAsia="仿宋_GB2312" w:cs="Times New Roman"/>
          <w:sz w:val="32"/>
          <w:szCs w:val="32"/>
        </w:rPr>
      </w:pPr>
      <w:r>
        <w:rPr>
          <w:rFonts w:hint="eastAsia" w:ascii="仿宋_GB2312" w:hAnsi="宋体" w:eastAsia="仿宋_GB2312" w:cs="Times New Roman"/>
          <w:sz w:val="32"/>
          <w:szCs w:val="32"/>
        </w:rPr>
        <w:t>9</w:t>
      </w:r>
      <w:r>
        <w:rPr>
          <w:rFonts w:hint="eastAsia" w:ascii="仿宋_GB2312" w:hAnsi="宋体" w:eastAsia="仿宋_GB2312" w:cs="Times New Roman"/>
          <w:sz w:val="32"/>
          <w:szCs w:val="32"/>
          <w:lang w:val="en-US" w:eastAsia="zh-CN"/>
        </w:rPr>
        <w:t>.</w:t>
      </w:r>
      <w:r>
        <w:rPr>
          <w:rFonts w:hint="eastAsia" w:ascii="仿宋_GB2312" w:hAnsi="宋体" w:eastAsia="仿宋_GB2312" w:cs="Times New Roman"/>
          <w:sz w:val="32"/>
          <w:szCs w:val="32"/>
        </w:rPr>
        <w:t>积极发展同各县(区)妇女和妇女组织以及区外妇女团体的友好交往与合作，增进了解和友谊。</w:t>
      </w:r>
    </w:p>
    <w:p>
      <w:pPr>
        <w:spacing w:after="0" w:line="560" w:lineRule="exact"/>
        <w:ind w:firstLine="640" w:firstLineChars="200"/>
        <w:jc w:val="both"/>
        <w:rPr>
          <w:rFonts w:ascii="仿宋_GB2312" w:hAnsi="宋体" w:eastAsia="仿宋_GB2312" w:cs="Times New Roman"/>
          <w:sz w:val="32"/>
          <w:szCs w:val="32"/>
        </w:rPr>
      </w:pPr>
      <w:r>
        <w:rPr>
          <w:rFonts w:hint="eastAsia" w:ascii="仿宋_GB2312" w:hAnsi="宋体" w:eastAsia="仿宋_GB2312" w:cs="Times New Roman"/>
          <w:sz w:val="32"/>
          <w:szCs w:val="32"/>
        </w:rPr>
        <w:t>10</w:t>
      </w:r>
      <w:r>
        <w:rPr>
          <w:rFonts w:hint="eastAsia" w:ascii="仿宋_GB2312" w:hAnsi="宋体" w:eastAsia="仿宋_GB2312" w:cs="Times New Roman"/>
          <w:sz w:val="32"/>
          <w:szCs w:val="32"/>
          <w:lang w:val="en-US" w:eastAsia="zh-CN"/>
        </w:rPr>
        <w:t>.</w:t>
      </w:r>
      <w:r>
        <w:rPr>
          <w:rFonts w:hint="eastAsia" w:ascii="仿宋_GB2312" w:hAnsi="宋体" w:eastAsia="仿宋_GB2312" w:cs="Times New Roman"/>
          <w:sz w:val="32"/>
          <w:szCs w:val="32"/>
        </w:rPr>
        <w:t>承担县人民政府妇女儿童工作委员会的日常工作。</w:t>
      </w:r>
    </w:p>
    <w:p>
      <w:pPr>
        <w:spacing w:after="0" w:line="560" w:lineRule="exact"/>
        <w:ind w:firstLine="640" w:firstLineChars="200"/>
        <w:jc w:val="both"/>
        <w:rPr>
          <w:rFonts w:ascii="仿宋_GB2312" w:hAnsi="宋体" w:eastAsia="仿宋_GB2312" w:cs="Times New Roman"/>
          <w:sz w:val="32"/>
          <w:szCs w:val="32"/>
        </w:rPr>
      </w:pPr>
      <w:r>
        <w:rPr>
          <w:rFonts w:hint="eastAsia" w:ascii="仿宋_GB2312" w:hAnsi="宋体" w:eastAsia="仿宋_GB2312" w:cs="Times New Roman"/>
          <w:sz w:val="32"/>
          <w:szCs w:val="32"/>
        </w:rPr>
        <w:t>11</w:t>
      </w:r>
      <w:r>
        <w:rPr>
          <w:rFonts w:hint="eastAsia" w:ascii="仿宋_GB2312" w:hAnsi="宋体" w:eastAsia="仿宋_GB2312" w:cs="Times New Roman"/>
          <w:sz w:val="32"/>
          <w:szCs w:val="32"/>
          <w:lang w:val="en-US" w:eastAsia="zh-CN"/>
        </w:rPr>
        <w:t>.</w:t>
      </w:r>
      <w:r>
        <w:rPr>
          <w:rFonts w:hint="eastAsia" w:ascii="仿宋_GB2312" w:hAnsi="宋体" w:eastAsia="仿宋_GB2312" w:cs="Times New Roman"/>
          <w:sz w:val="32"/>
          <w:szCs w:val="32"/>
        </w:rPr>
        <w:t>完成县委、政府交办的其他任务。</w:t>
      </w:r>
    </w:p>
    <w:p>
      <w:pPr>
        <w:spacing w:after="0" w:line="560" w:lineRule="exact"/>
        <w:ind w:firstLine="320" w:firstLineChars="100"/>
        <w:jc w:val="both"/>
        <w:rPr>
          <w:rFonts w:ascii="楷体_GB2312" w:hAnsi="楷体_GB2312" w:eastAsia="楷体_GB2312" w:cs="楷体_GB2312"/>
          <w:sz w:val="32"/>
          <w:szCs w:val="32"/>
        </w:rPr>
      </w:pPr>
      <w:r>
        <w:rPr>
          <w:rFonts w:hint="eastAsia" w:ascii="楷体_GB2312" w:hAnsi="楷体_GB2312" w:eastAsia="楷体_GB2312" w:cs="楷体_GB2312"/>
          <w:sz w:val="32"/>
          <w:szCs w:val="32"/>
        </w:rPr>
        <w:t>（二）部门机构设置</w:t>
      </w:r>
    </w:p>
    <w:p>
      <w:pPr>
        <w:spacing w:after="0" w:line="560" w:lineRule="exact"/>
        <w:ind w:firstLine="640" w:firstLineChars="200"/>
        <w:jc w:val="both"/>
        <w:rPr>
          <w:rFonts w:ascii="仿宋_GB2312" w:hAnsi="宋体" w:eastAsia="仿宋_GB2312" w:cs="Times New Roman"/>
          <w:sz w:val="32"/>
          <w:szCs w:val="32"/>
        </w:rPr>
      </w:pPr>
      <w:r>
        <w:rPr>
          <w:rFonts w:hint="eastAsia" w:ascii="仿宋_GB2312" w:hAnsi="宋体" w:eastAsia="仿宋_GB2312"/>
          <w:sz w:val="32"/>
          <w:szCs w:val="32"/>
        </w:rPr>
        <w:t>察隅</w:t>
      </w:r>
      <w:r>
        <w:rPr>
          <w:rFonts w:hint="eastAsia" w:ascii="仿宋_GB2312" w:hAnsi="宋体" w:eastAsia="仿宋_GB2312" w:cs="Times New Roman"/>
          <w:sz w:val="32"/>
          <w:szCs w:val="32"/>
        </w:rPr>
        <w:t>县妇女联合会无内设机构。</w:t>
      </w:r>
    </w:p>
    <w:p>
      <w:pPr>
        <w:spacing w:line="560" w:lineRule="exact"/>
        <w:jc w:val="both"/>
        <w:rPr>
          <w:rFonts w:ascii="仿宋_GB2312" w:hAnsi="仿宋_GB2312" w:eastAsia="仿宋_GB2312" w:cs="仿宋_GB2312"/>
          <w:sz w:val="32"/>
          <w:szCs w:val="32"/>
        </w:rPr>
      </w:pPr>
    </w:p>
    <w:p>
      <w:pPr>
        <w:numPr>
          <w:ilvl w:val="0"/>
          <w:numId w:val="1"/>
        </w:numPr>
        <w:spacing w:line="560" w:lineRule="exact"/>
        <w:jc w:val="center"/>
        <w:rPr>
          <w:rFonts w:ascii="方正小标宋简体" w:hAnsi="方正小标宋简体" w:eastAsia="方正小标宋简体" w:cs="方正小标宋简体"/>
          <w:bCs/>
          <w:snapToGrid w:val="0"/>
          <w:w w:val="95"/>
          <w:sz w:val="32"/>
          <w:szCs w:val="32"/>
        </w:rPr>
      </w:pPr>
      <w:r>
        <w:rPr>
          <w:rFonts w:hint="eastAsia" w:ascii="方正小标宋简体" w:hAnsi="方正小标宋简体" w:eastAsia="方正小标宋简体" w:cs="方正小标宋简体"/>
          <w:bCs/>
          <w:snapToGrid w:val="0"/>
          <w:w w:val="95"/>
          <w:sz w:val="44"/>
          <w:szCs w:val="44"/>
        </w:rPr>
        <w:t xml:space="preserve"> 察隅县妇女联合会2023年度部门预算明细表（详见附件）</w:t>
      </w:r>
    </w:p>
    <w:p>
      <w:pPr>
        <w:spacing w:after="0" w:line="560" w:lineRule="exact"/>
        <w:jc w:val="center"/>
        <w:rPr>
          <w:rFonts w:hint="eastAsia" w:ascii="方正小标宋简体" w:hAnsi="方正小标宋简体" w:eastAsia="方正小标宋简体" w:cs="方正小标宋简体"/>
          <w:bCs/>
          <w:snapToGrid w:val="0"/>
          <w:w w:val="95"/>
          <w:sz w:val="44"/>
          <w:szCs w:val="44"/>
        </w:rPr>
      </w:pPr>
    </w:p>
    <w:p>
      <w:pPr>
        <w:spacing w:after="0" w:line="560" w:lineRule="exact"/>
        <w:jc w:val="center"/>
        <w:rPr>
          <w:rFonts w:ascii="方正小标宋简体" w:hAnsi="方正小标宋简体" w:eastAsia="方正小标宋简体" w:cs="方正小标宋简体"/>
          <w:bCs/>
          <w:snapToGrid w:val="0"/>
          <w:w w:val="95"/>
          <w:sz w:val="44"/>
          <w:szCs w:val="44"/>
        </w:rPr>
      </w:pPr>
      <w:r>
        <w:rPr>
          <w:rFonts w:hint="eastAsia" w:ascii="方正小标宋简体" w:hAnsi="方正小标宋简体" w:eastAsia="方正小标宋简体" w:cs="方正小标宋简体"/>
          <w:bCs/>
          <w:snapToGrid w:val="0"/>
          <w:w w:val="95"/>
          <w:sz w:val="44"/>
          <w:szCs w:val="44"/>
        </w:rPr>
        <w:t>第三部分  察隅县妇女联合会2023年度部门预算数据分析</w:t>
      </w:r>
    </w:p>
    <w:p>
      <w:pPr>
        <w:spacing w:line="560" w:lineRule="exact"/>
        <w:jc w:val="both"/>
        <w:rPr>
          <w:rFonts w:ascii="黑体" w:hAnsi="黑体" w:eastAsia="黑体"/>
          <w:b/>
          <w:snapToGrid w:val="0"/>
          <w:w w:val="95"/>
          <w:sz w:val="32"/>
          <w:szCs w:val="32"/>
        </w:rPr>
      </w:pPr>
    </w:p>
    <w:p>
      <w:pPr>
        <w:spacing w:after="0" w:line="560" w:lineRule="exact"/>
        <w:ind w:firstLine="640" w:firstLineChars="200"/>
        <w:rPr>
          <w:rFonts w:ascii="黑体" w:hAnsi="黑体" w:eastAsia="黑体"/>
          <w:sz w:val="32"/>
          <w:szCs w:val="32"/>
        </w:rPr>
      </w:pPr>
      <w:r>
        <w:rPr>
          <w:rFonts w:hint="eastAsia" w:ascii="黑体" w:hAnsi="黑体" w:eastAsia="黑体"/>
          <w:sz w:val="32"/>
          <w:szCs w:val="32"/>
        </w:rPr>
        <w:t>一、2023年部门收支总表的说明</w:t>
      </w:r>
    </w:p>
    <w:p>
      <w:pPr>
        <w:spacing w:after="0" w:line="560" w:lineRule="exact"/>
        <w:ind w:firstLine="640" w:firstLineChars="200"/>
        <w:jc w:val="both"/>
        <w:rPr>
          <w:rFonts w:ascii="仿宋" w:hAnsi="仿宋" w:eastAsia="仿宋"/>
          <w:sz w:val="32"/>
          <w:szCs w:val="32"/>
        </w:rPr>
      </w:pPr>
      <w:r>
        <w:rPr>
          <w:rFonts w:hint="eastAsia" w:ascii="仿宋_GB2312" w:hAnsi="仿宋_GB2312" w:eastAsia="仿宋_GB2312" w:cs="仿宋_GB2312"/>
          <w:sz w:val="32"/>
          <w:szCs w:val="32"/>
        </w:rPr>
        <w:t>2023年收支总预算108.4万元。收入包括：一般公共预算拨款收入、事业收入、事业单位经营收入、其他收入、使用非财政拨款结余、上年结转；支出包括：一般公共服务支出、外交支出、教育支出、科学技术支出、文化旅游体育与传媒支出、社会保障和就业支出、卫生健康支出、住房保障支出等。与2022年对比，收入增加13.91万元，主要原因：</w:t>
      </w:r>
      <w:r>
        <w:rPr>
          <w:rFonts w:hint="eastAsia" w:ascii="仿宋_GB2312" w:hAnsi="仿宋_GB2312" w:eastAsia="仿宋_GB2312" w:cs="仿宋_GB2312"/>
          <w:snapToGrid w:val="0"/>
          <w:w w:val="95"/>
          <w:sz w:val="32"/>
          <w:szCs w:val="32"/>
        </w:rPr>
        <w:t>人员工资福利增长，计提比例增加,项目支出也有所增加。</w:t>
      </w:r>
    </w:p>
    <w:p>
      <w:pPr>
        <w:spacing w:after="0" w:line="560" w:lineRule="exact"/>
        <w:ind w:firstLine="640" w:firstLineChars="200"/>
        <w:jc w:val="both"/>
        <w:rPr>
          <w:rFonts w:ascii="黑体" w:hAnsi="黑体" w:eastAsia="黑体"/>
          <w:sz w:val="32"/>
          <w:szCs w:val="32"/>
        </w:rPr>
      </w:pPr>
      <w:r>
        <w:rPr>
          <w:rFonts w:hint="eastAsia" w:ascii="黑体" w:hAnsi="黑体" w:eastAsia="黑体"/>
          <w:sz w:val="32"/>
          <w:szCs w:val="32"/>
        </w:rPr>
        <w:t>二、2023年度部门收入总表的说明</w:t>
      </w:r>
    </w:p>
    <w:p>
      <w:pPr>
        <w:spacing w:after="0"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收入预算108.4万元，</w:t>
      </w:r>
      <w:r>
        <w:rPr>
          <w:rFonts w:hint="eastAsia" w:ascii="仿宋_GB2312" w:hAnsi="仿宋_GB2312" w:eastAsia="仿宋_GB2312" w:cs="仿宋_GB2312"/>
          <w:sz w:val="32"/>
          <w:szCs w:val="32"/>
          <w:lang w:eastAsia="zh-CN"/>
        </w:rPr>
        <w:t>主要是</w:t>
      </w:r>
      <w:r>
        <w:rPr>
          <w:rFonts w:hint="eastAsia" w:ascii="仿宋_GB2312" w:hAnsi="仿宋_GB2312" w:eastAsia="仿宋_GB2312" w:cs="仿宋_GB2312"/>
          <w:sz w:val="32"/>
          <w:szCs w:val="32"/>
        </w:rPr>
        <w:t>一般公共预算拨款收入106.81万元，占98%</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比2022年预算数</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rPr>
        <w:t>12.32万元，增长11.53%，主要原因为人员经费增加</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上年结转资金1.59万元，占2%。</w:t>
      </w:r>
    </w:p>
    <w:p>
      <w:pPr>
        <w:spacing w:after="0" w:line="560" w:lineRule="exact"/>
        <w:ind w:firstLine="640" w:firstLineChars="200"/>
        <w:jc w:val="both"/>
        <w:rPr>
          <w:rFonts w:ascii="黑体" w:hAnsi="黑体" w:eastAsia="黑体"/>
          <w:sz w:val="32"/>
          <w:szCs w:val="32"/>
        </w:rPr>
      </w:pPr>
      <w:r>
        <w:rPr>
          <w:rFonts w:hint="eastAsia" w:ascii="黑体" w:hAnsi="黑体" w:eastAsia="黑体"/>
          <w:sz w:val="32"/>
          <w:szCs w:val="32"/>
        </w:rPr>
        <w:t>三、2023年部门支出总表的说明</w:t>
      </w:r>
    </w:p>
    <w:p>
      <w:pPr>
        <w:spacing w:after="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2023年支出预算108.4万元，其中：基本支出   95.41万元，占88.02 %；主要用于人员经费和公用经费支出，项目支出12.99万元，占11.98 %。主要用于妇女工作专项经费支出，妇儿工委专项经费支出、“平安家庭”建设专项经费支出、三八妇女节活动经费等。</w:t>
      </w:r>
    </w:p>
    <w:p>
      <w:pPr>
        <w:spacing w:after="0" w:line="560" w:lineRule="exact"/>
        <w:ind w:firstLine="640" w:firstLineChars="200"/>
        <w:jc w:val="both"/>
        <w:rPr>
          <w:rFonts w:ascii="黑体" w:hAnsi="黑体" w:eastAsia="黑体"/>
          <w:sz w:val="32"/>
          <w:szCs w:val="32"/>
        </w:rPr>
      </w:pPr>
      <w:r>
        <w:rPr>
          <w:rFonts w:hint="eastAsia" w:ascii="黑体" w:hAnsi="黑体" w:eastAsia="黑体"/>
          <w:sz w:val="32"/>
          <w:szCs w:val="32"/>
        </w:rPr>
        <w:t>四、2023年财政拨款收支总表的说明</w:t>
      </w:r>
    </w:p>
    <w:p>
      <w:pPr>
        <w:spacing w:after="0" w:line="560" w:lineRule="exact"/>
        <w:ind w:firstLine="640" w:firstLineChars="200"/>
        <w:jc w:val="both"/>
        <w:rPr>
          <w:rFonts w:ascii="仿宋_GB2312" w:hAnsi="仿宋_GB2312" w:eastAsia="仿宋_GB2312" w:cs="仿宋_GB2312"/>
          <w:snapToGrid w:val="0"/>
          <w:w w:val="95"/>
          <w:sz w:val="32"/>
          <w:szCs w:val="32"/>
        </w:rPr>
      </w:pPr>
      <w:r>
        <w:rPr>
          <w:rFonts w:hint="eastAsia" w:ascii="仿宋_GB2312" w:hAnsi="仿宋_GB2312" w:eastAsia="仿宋_GB2312" w:cs="仿宋_GB2312"/>
          <w:sz w:val="32"/>
          <w:szCs w:val="32"/>
        </w:rPr>
        <w:t>2023年财政拨款收支总预算108.4万元。收入为一般公共预算拨款，包括：一般公共预算当年拨款收入108.4万元、支出包括：一般公共服务支出108.4万元。与2022年对比，支出数增加13.91万元，主要原因：</w:t>
      </w:r>
      <w:r>
        <w:rPr>
          <w:rFonts w:hint="eastAsia" w:ascii="仿宋_GB2312" w:hAnsi="仿宋_GB2312" w:eastAsia="仿宋_GB2312" w:cs="仿宋_GB2312"/>
          <w:snapToGrid w:val="0"/>
          <w:w w:val="95"/>
          <w:sz w:val="32"/>
          <w:szCs w:val="32"/>
        </w:rPr>
        <w:t>人员工资福利增长，计提比例增加,妇女工作专项经费支出有所增加。</w:t>
      </w:r>
    </w:p>
    <w:p>
      <w:pPr>
        <w:spacing w:after="0" w:line="560" w:lineRule="exact"/>
        <w:ind w:firstLine="640" w:firstLineChars="200"/>
        <w:jc w:val="both"/>
        <w:rPr>
          <w:rFonts w:ascii="黑体" w:hAnsi="黑体" w:eastAsia="黑体"/>
          <w:sz w:val="32"/>
          <w:szCs w:val="32"/>
        </w:rPr>
      </w:pPr>
      <w:r>
        <w:rPr>
          <w:rFonts w:hint="eastAsia" w:ascii="黑体" w:hAnsi="黑体" w:eastAsia="黑体"/>
          <w:sz w:val="32"/>
          <w:szCs w:val="32"/>
        </w:rPr>
        <w:t>五、2023年一般公共预算支出表的说明</w:t>
      </w:r>
    </w:p>
    <w:p>
      <w:pPr>
        <w:spacing w:after="0" w:line="560" w:lineRule="exact"/>
        <w:ind w:firstLine="640" w:firstLineChars="200"/>
        <w:jc w:val="both"/>
        <w:rPr>
          <w:rFonts w:ascii="楷体_GB2312" w:hAnsi="楷体_GB2312" w:eastAsia="楷体_GB2312" w:cs="楷体_GB2312"/>
          <w:sz w:val="32"/>
          <w:szCs w:val="32"/>
        </w:rPr>
      </w:pPr>
      <w:r>
        <w:rPr>
          <w:rFonts w:hint="eastAsia" w:ascii="楷体_GB2312" w:hAnsi="楷体_GB2312" w:eastAsia="楷体_GB2312" w:cs="楷体_GB2312"/>
          <w:sz w:val="32"/>
          <w:szCs w:val="32"/>
        </w:rPr>
        <w:t>（一）一般公共预算当年拨款规模变化情况。</w:t>
      </w:r>
    </w:p>
    <w:p>
      <w:pPr>
        <w:spacing w:after="0" w:line="560" w:lineRule="exact"/>
        <w:ind w:firstLine="640" w:firstLineChars="200"/>
        <w:jc w:val="both"/>
        <w:rPr>
          <w:rFonts w:ascii="仿宋_GB2312" w:hAnsi="仿宋_GB2312" w:eastAsia="仿宋_GB2312" w:cs="仿宋_GB2312"/>
          <w:snapToGrid w:val="0"/>
          <w:w w:val="95"/>
          <w:sz w:val="32"/>
          <w:szCs w:val="32"/>
        </w:rPr>
      </w:pPr>
      <w:r>
        <w:rPr>
          <w:rFonts w:hint="eastAsia" w:ascii="仿宋_GB2312" w:hAnsi="仿宋_GB2312" w:eastAsia="仿宋_GB2312" w:cs="仿宋_GB2312"/>
          <w:sz w:val="32"/>
          <w:szCs w:val="32"/>
        </w:rPr>
        <w:t>2023年一般公共预算当年拨款108.4万元,比2022 年执行数增加13.91万元，增长12.8%。主要原因：</w:t>
      </w:r>
      <w:r>
        <w:rPr>
          <w:rFonts w:hint="eastAsia" w:ascii="仿宋_GB2312" w:hAnsi="仿宋_GB2312" w:eastAsia="仿宋_GB2312" w:cs="仿宋_GB2312"/>
          <w:snapToGrid w:val="0"/>
          <w:w w:val="95"/>
          <w:sz w:val="32"/>
          <w:szCs w:val="32"/>
        </w:rPr>
        <w:t>人员增加，计提比例增加,项目支出也有所增加。</w:t>
      </w:r>
    </w:p>
    <w:p>
      <w:pPr>
        <w:spacing w:after="0" w:line="560" w:lineRule="exact"/>
        <w:ind w:firstLine="640" w:firstLineChars="200"/>
        <w:jc w:val="both"/>
        <w:rPr>
          <w:rFonts w:ascii="楷体_GB2312" w:hAnsi="楷体_GB2312" w:eastAsia="楷体_GB2312" w:cs="楷体_GB2312"/>
          <w:sz w:val="32"/>
          <w:szCs w:val="32"/>
        </w:rPr>
      </w:pPr>
      <w:r>
        <w:rPr>
          <w:rFonts w:hint="eastAsia" w:ascii="楷体_GB2312" w:hAnsi="楷体_GB2312" w:eastAsia="楷体_GB2312" w:cs="楷体_GB2312"/>
          <w:sz w:val="32"/>
          <w:szCs w:val="32"/>
        </w:rPr>
        <w:t>（二）一般公共预算当年拨款结构情况。</w:t>
      </w:r>
    </w:p>
    <w:p>
      <w:pPr>
        <w:spacing w:after="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108.4万元，占100 %；包括基本支出95.41万元，项目支出12.99万元。其中，一般公共服务支出87.03万元，占80.28%；社会保障和就业支出9.1万元，占8.4%；卫生健康支出5.49万元，占5.12%；住房保障支出6.78万元，占6.2%。</w:t>
      </w:r>
    </w:p>
    <w:p>
      <w:pPr>
        <w:spacing w:after="0" w:line="560" w:lineRule="exact"/>
        <w:ind w:firstLine="640" w:firstLineChars="200"/>
        <w:jc w:val="both"/>
        <w:rPr>
          <w:rFonts w:ascii="楷体_GB2312" w:hAnsi="楷体_GB2312" w:eastAsia="楷体_GB2312" w:cs="楷体_GB2312"/>
          <w:sz w:val="32"/>
          <w:szCs w:val="32"/>
        </w:rPr>
      </w:pPr>
      <w:r>
        <w:rPr>
          <w:rFonts w:hint="eastAsia" w:ascii="楷体_GB2312" w:hAnsi="楷体_GB2312" w:eastAsia="楷体_GB2312" w:cs="楷体_GB2312"/>
          <w:sz w:val="32"/>
          <w:szCs w:val="32"/>
        </w:rPr>
        <w:t xml:space="preserve">（三）一般公共预算当年拨款具体使用情况。 </w:t>
      </w:r>
    </w:p>
    <w:p>
      <w:pPr>
        <w:spacing w:after="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对本部门一般公共预算支出功能分类项级科目增减变化进行说明。</w:t>
      </w:r>
    </w:p>
    <w:p>
      <w:pPr>
        <w:spacing w:after="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1.一般公共服务支出（类）群众团体事务（款）行政运行（项）2023年预算数为85.44万元。比2022年的执行数多了22.29万元，增长23%，主要是因为人员经费增加。</w:t>
      </w:r>
    </w:p>
    <w:p>
      <w:pPr>
        <w:spacing w:after="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2.一般公共服务支出（类）群众团体事务（款）一般行政管理事务（项）2023年预算数为1.59万元。比2022年的执行数少了9.81万元，下降42.3%，主要是因为项目的减少。</w:t>
      </w:r>
    </w:p>
    <w:p>
      <w:pPr>
        <w:spacing w:after="0" w:line="560" w:lineRule="exact"/>
        <w:ind w:firstLine="608" w:firstLineChars="200"/>
        <w:jc w:val="both"/>
        <w:rPr>
          <w:rFonts w:ascii="仿宋_GB2312" w:hAnsi="仿宋_GB2312" w:eastAsia="仿宋_GB2312" w:cs="仿宋_GB2312"/>
          <w:sz w:val="32"/>
          <w:szCs w:val="32"/>
        </w:rPr>
      </w:pPr>
      <w:r>
        <w:rPr>
          <w:rFonts w:hint="eastAsia" w:ascii="仿宋_GB2312" w:hAnsi="仿宋_GB2312" w:eastAsia="仿宋_GB2312" w:cs="仿宋_GB2312"/>
          <w:snapToGrid w:val="0"/>
          <w:w w:val="95"/>
          <w:sz w:val="32"/>
          <w:szCs w:val="32"/>
        </w:rPr>
        <w:t>3</w:t>
      </w:r>
      <w:r>
        <w:rPr>
          <w:rFonts w:hint="eastAsia" w:ascii="仿宋_GB2312" w:hAnsi="仿宋_GB2312" w:eastAsia="仿宋_GB2312" w:cs="仿宋_GB2312"/>
          <w:sz w:val="32"/>
          <w:szCs w:val="32"/>
        </w:rPr>
        <w:t>.</w:t>
      </w:r>
      <w:r>
        <w:rPr>
          <w:rFonts w:hint="eastAsia"/>
        </w:rPr>
        <w:t xml:space="preserve"> </w:t>
      </w:r>
      <w:r>
        <w:rPr>
          <w:rFonts w:hint="eastAsia" w:ascii="仿宋_GB2312" w:hAnsi="仿宋_GB2312" w:eastAsia="仿宋_GB2312" w:cs="仿宋_GB2312"/>
          <w:sz w:val="32"/>
          <w:szCs w:val="32"/>
        </w:rPr>
        <w:t>社会保障和就业支出（类）行政事业单位养老支出（款）机关事业单位基本养老保险缴费支出（项）2023年预算数为9.02万元。比2022年的执行数</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rPr>
        <w:t>1.19万元，增长12.5%，主要是因为人员经费增加。</w:t>
      </w:r>
    </w:p>
    <w:p>
      <w:pPr>
        <w:spacing w:after="0" w:line="560" w:lineRule="exact"/>
        <w:ind w:firstLine="608" w:firstLineChars="200"/>
        <w:jc w:val="both"/>
        <w:rPr>
          <w:rFonts w:ascii="仿宋_GB2312" w:hAnsi="仿宋_GB2312" w:eastAsia="仿宋_GB2312" w:cs="仿宋_GB2312"/>
          <w:sz w:val="32"/>
          <w:szCs w:val="32"/>
        </w:rPr>
      </w:pPr>
      <w:r>
        <w:rPr>
          <w:rFonts w:hint="eastAsia" w:ascii="仿宋_GB2312" w:hAnsi="仿宋_GB2312" w:eastAsia="仿宋_GB2312" w:cs="仿宋_GB2312"/>
          <w:snapToGrid w:val="0"/>
          <w:w w:val="95"/>
          <w:sz w:val="32"/>
          <w:szCs w:val="32"/>
        </w:rPr>
        <w:t>4.</w:t>
      </w:r>
      <w:r>
        <w:rPr>
          <w:rFonts w:hint="eastAsia" w:ascii="仿宋_GB2312" w:hAnsi="仿宋_GB2312" w:eastAsia="仿宋_GB2312" w:cs="仿宋_GB2312"/>
          <w:sz w:val="32"/>
          <w:szCs w:val="32"/>
        </w:rPr>
        <w:t>社会保障和就业支出（类）财政对其他社会保险基金的补助（款）财政对工伤保险基金的补助（项）2023年预算数为9.02万元。比2022年的执行数</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rPr>
        <w:t>8.82万元，增长45.6%，主要是因为人员经费增加。</w:t>
      </w:r>
    </w:p>
    <w:p>
      <w:pPr>
        <w:spacing w:after="0" w:line="560" w:lineRule="exact"/>
        <w:ind w:firstLine="608" w:firstLineChars="200"/>
        <w:jc w:val="both"/>
        <w:rPr>
          <w:rFonts w:ascii="仿宋_GB2312" w:hAnsi="仿宋_GB2312" w:eastAsia="仿宋_GB2312" w:cs="仿宋_GB2312"/>
          <w:sz w:val="32"/>
          <w:szCs w:val="32"/>
        </w:rPr>
      </w:pPr>
      <w:r>
        <w:rPr>
          <w:rFonts w:hint="eastAsia" w:ascii="仿宋_GB2312" w:hAnsi="仿宋_GB2312" w:eastAsia="仿宋_GB2312" w:cs="仿宋_GB2312"/>
          <w:snapToGrid w:val="0"/>
          <w:w w:val="95"/>
          <w:sz w:val="32"/>
          <w:szCs w:val="32"/>
        </w:rPr>
        <w:t>5.</w:t>
      </w:r>
      <w:r>
        <w:rPr>
          <w:rFonts w:hint="eastAsia" w:ascii="仿宋_GB2312" w:hAnsi="仿宋_GB2312" w:eastAsia="仿宋_GB2312" w:cs="仿宋_GB2312"/>
          <w:sz w:val="32"/>
          <w:szCs w:val="32"/>
        </w:rPr>
        <w:t>卫生健康支出（类）行政事业单位医疗（款）公务员医疗补助（项）2023年预算数为1.14万元。比2022年的执行数</w:t>
      </w:r>
      <w:r>
        <w:rPr>
          <w:rFonts w:hint="eastAsia" w:ascii="仿宋_GB2312" w:hAnsi="仿宋_GB2312" w:eastAsia="仿宋_GB2312" w:cs="仿宋_GB2312"/>
          <w:sz w:val="32"/>
          <w:szCs w:val="32"/>
          <w:lang w:eastAsia="zh-CN"/>
        </w:rPr>
        <w:t>减少</w:t>
      </w:r>
      <w:r>
        <w:rPr>
          <w:rFonts w:hint="eastAsia" w:ascii="仿宋_GB2312" w:hAnsi="仿宋_GB2312" w:eastAsia="仿宋_GB2312" w:cs="仿宋_GB2312"/>
          <w:sz w:val="32"/>
          <w:szCs w:val="32"/>
        </w:rPr>
        <w:t>0.33万元，下降15.6%，主要是因为本年度公务员医疗补助经费减少。</w:t>
      </w:r>
    </w:p>
    <w:p>
      <w:pPr>
        <w:spacing w:after="0" w:line="560" w:lineRule="exact"/>
        <w:ind w:firstLine="608" w:firstLineChars="200"/>
        <w:jc w:val="both"/>
        <w:rPr>
          <w:rFonts w:ascii="仿宋_GB2312" w:hAnsi="仿宋_GB2312" w:eastAsia="仿宋_GB2312" w:cs="仿宋_GB2312"/>
          <w:sz w:val="32"/>
          <w:szCs w:val="32"/>
        </w:rPr>
      </w:pPr>
      <w:r>
        <w:rPr>
          <w:rFonts w:hint="eastAsia" w:ascii="仿宋_GB2312" w:hAnsi="仿宋_GB2312" w:eastAsia="仿宋_GB2312" w:cs="仿宋_GB2312"/>
          <w:snapToGrid w:val="0"/>
          <w:w w:val="95"/>
          <w:sz w:val="32"/>
          <w:szCs w:val="32"/>
        </w:rPr>
        <w:t>6.</w:t>
      </w:r>
      <w:r>
        <w:rPr>
          <w:rFonts w:hint="eastAsia" w:ascii="仿宋_GB2312" w:hAnsi="仿宋_GB2312" w:eastAsia="仿宋_GB2312" w:cs="仿宋_GB2312"/>
          <w:sz w:val="32"/>
          <w:szCs w:val="32"/>
        </w:rPr>
        <w:t xml:space="preserve"> 卫生健康支出（类）财政对基本医疗保险基金的补助（款）财政对职工基本医疗保险基金的补助（项）2023年预算数为4.35万元。比2022年的执行数</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rPr>
        <w:t>0.09万元，增长4.2%，主要是因为人员经费增加。</w:t>
      </w:r>
    </w:p>
    <w:p>
      <w:pPr>
        <w:spacing w:after="0" w:line="560" w:lineRule="exact"/>
        <w:ind w:firstLine="608" w:firstLineChars="200"/>
        <w:jc w:val="both"/>
        <w:rPr>
          <w:rFonts w:ascii="仿宋_GB2312" w:hAnsi="仿宋_GB2312" w:eastAsia="仿宋_GB2312" w:cs="仿宋_GB2312"/>
          <w:sz w:val="32"/>
          <w:szCs w:val="32"/>
        </w:rPr>
      </w:pPr>
      <w:r>
        <w:rPr>
          <w:rFonts w:hint="eastAsia" w:ascii="仿宋_GB2312" w:hAnsi="仿宋_GB2312" w:eastAsia="仿宋_GB2312" w:cs="仿宋_GB2312"/>
          <w:snapToGrid w:val="0"/>
          <w:w w:val="95"/>
          <w:sz w:val="32"/>
          <w:szCs w:val="32"/>
        </w:rPr>
        <w:t>7.</w:t>
      </w:r>
      <w:r>
        <w:rPr>
          <w:rFonts w:hint="eastAsia" w:ascii="仿宋_GB2312" w:hAnsi="仿宋_GB2312" w:eastAsia="仿宋_GB2312" w:cs="仿宋_GB2312"/>
          <w:sz w:val="32"/>
          <w:szCs w:val="32"/>
        </w:rPr>
        <w:t xml:space="preserve"> 住房保障支出（类）住房改革支出（款）住房公积金（项）2023年预算数为6.78万元。比2022年的执行数</w:t>
      </w:r>
      <w:r>
        <w:rPr>
          <w:rFonts w:hint="eastAsia" w:ascii="仿宋_GB2312" w:hAnsi="仿宋_GB2312" w:eastAsia="仿宋_GB2312" w:cs="仿宋_GB2312"/>
          <w:sz w:val="32"/>
          <w:szCs w:val="32"/>
          <w:lang w:eastAsia="zh-CN"/>
        </w:rPr>
        <w:t>增加</w:t>
      </w:r>
      <w:bookmarkStart w:id="0" w:name="_GoBack"/>
      <w:bookmarkEnd w:id="0"/>
      <w:r>
        <w:rPr>
          <w:rFonts w:hint="eastAsia" w:ascii="仿宋_GB2312" w:hAnsi="仿宋_GB2312" w:eastAsia="仿宋_GB2312" w:cs="仿宋_GB2312"/>
          <w:sz w:val="32"/>
          <w:szCs w:val="32"/>
        </w:rPr>
        <w:t>0.5万元，增长9.2%，主要是因为人员经费增加。</w:t>
      </w:r>
    </w:p>
    <w:p>
      <w:pPr>
        <w:spacing w:after="0" w:line="560" w:lineRule="exact"/>
        <w:ind w:firstLine="640" w:firstLineChars="200"/>
        <w:jc w:val="both"/>
        <w:rPr>
          <w:rFonts w:ascii="黑体" w:hAnsi="黑体" w:eastAsia="黑体" w:cs="黑体"/>
          <w:sz w:val="32"/>
          <w:szCs w:val="32"/>
        </w:rPr>
      </w:pPr>
      <w:r>
        <w:rPr>
          <w:rFonts w:hint="eastAsia" w:ascii="黑体" w:hAnsi="黑体" w:eastAsia="黑体" w:cs="黑体"/>
          <w:sz w:val="32"/>
          <w:szCs w:val="32"/>
        </w:rPr>
        <w:t>六、2023年一般公共预算基本支出表的说明</w:t>
      </w:r>
    </w:p>
    <w:p>
      <w:pPr>
        <w:spacing w:after="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2023年一般公共预算基本支出95.41万元，其中：</w:t>
      </w:r>
    </w:p>
    <w:p>
      <w:pPr>
        <w:spacing w:after="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人员经费85.81 万元，主要包括工资福利支出（基本工资、津贴补贴、奖金、机关事业单位基本养老保险缴费、职工基本医疗保险缴费、公务员医疗补助缴费、其他社会保障缴费、住房公积金、其他工资福利支出）。</w:t>
      </w:r>
    </w:p>
    <w:p>
      <w:pPr>
        <w:spacing w:after="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公用经费9.6万元，主要包括商品和服务支出（办公费、印刷费、水费、电费、邮电费、取暖费、差旅费、维修(护)费、会议费、培训费、公务接待费、委托业务费、公务用车运行维护费、其他商品和服务支出）。</w:t>
      </w:r>
    </w:p>
    <w:p>
      <w:pPr>
        <w:spacing w:after="0" w:line="560" w:lineRule="exact"/>
        <w:ind w:firstLine="640" w:firstLineChars="200"/>
        <w:jc w:val="both"/>
        <w:rPr>
          <w:rFonts w:ascii="仿宋" w:hAnsi="仿宋" w:eastAsia="仿宋"/>
          <w:sz w:val="32"/>
          <w:szCs w:val="32"/>
        </w:rPr>
      </w:pPr>
      <w:r>
        <w:rPr>
          <w:rFonts w:hint="eastAsia" w:ascii="黑体" w:hAnsi="黑体" w:eastAsia="黑体"/>
          <w:sz w:val="32"/>
          <w:szCs w:val="32"/>
        </w:rPr>
        <w:t>七、2023年度一般公共预算“三公”经费预算情况说明</w:t>
      </w:r>
    </w:p>
    <w:p>
      <w:pPr>
        <w:spacing w:after="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2023年“三公”经费预算数为1.35万元，和2022年相同。</w:t>
      </w:r>
    </w:p>
    <w:p>
      <w:pPr>
        <w:numPr>
          <w:ilvl w:val="0"/>
          <w:numId w:val="0"/>
        </w:numPr>
        <w:spacing w:after="0" w:line="560" w:lineRule="exact"/>
        <w:ind w:firstLine="608" w:firstLineChars="200"/>
        <w:jc w:val="both"/>
        <w:rPr>
          <w:rFonts w:ascii="仿宋_GB2312" w:hAnsi="宋体" w:eastAsia="仿宋_GB2312" w:cs="仿宋_GB2312"/>
          <w:w w:val="95"/>
          <w:sz w:val="32"/>
          <w:szCs w:val="32"/>
        </w:rPr>
      </w:pPr>
      <w:r>
        <w:rPr>
          <w:rFonts w:hint="eastAsia" w:ascii="楷体_GB2312" w:hAnsi="楷体_GB2312" w:eastAsia="楷体_GB2312" w:cs="楷体_GB2312"/>
          <w:snapToGrid w:val="0"/>
          <w:w w:val="95"/>
          <w:sz w:val="32"/>
          <w:szCs w:val="32"/>
          <w:lang w:val="en-US" w:eastAsia="zh-CN"/>
        </w:rPr>
        <w:t>1.</w:t>
      </w:r>
      <w:r>
        <w:rPr>
          <w:rFonts w:hint="eastAsia" w:ascii="楷体_GB2312" w:hAnsi="楷体_GB2312" w:eastAsia="楷体_GB2312" w:cs="楷体_GB2312"/>
          <w:snapToGrid w:val="0"/>
          <w:w w:val="95"/>
          <w:sz w:val="32"/>
          <w:szCs w:val="32"/>
        </w:rPr>
        <w:t>因公出国（境）费用。</w:t>
      </w:r>
      <w:r>
        <w:rPr>
          <w:rFonts w:hint="eastAsia" w:ascii="仿宋_GB2312" w:hAnsi="宋体" w:eastAsia="仿宋_GB2312" w:cs="仿宋_GB2312"/>
          <w:w w:val="95"/>
          <w:sz w:val="32"/>
          <w:szCs w:val="32"/>
        </w:rPr>
        <w:t>2023</w:t>
      </w:r>
      <w:r>
        <w:rPr>
          <w:rFonts w:hint="eastAsia" w:ascii="仿宋_GB2312" w:hAnsi="宋体" w:eastAsia="仿宋_GB2312" w:cs="仿宋_GB2312"/>
          <w:snapToGrid w:val="0"/>
          <w:w w:val="95"/>
          <w:sz w:val="32"/>
          <w:szCs w:val="32"/>
        </w:rPr>
        <w:t>年预算数为</w:t>
      </w:r>
      <w:r>
        <w:rPr>
          <w:rFonts w:hint="eastAsia" w:ascii="仿宋_GB2312" w:hAnsi="宋体" w:eastAsia="仿宋_GB2312" w:cs="仿宋_GB2312"/>
          <w:w w:val="95"/>
          <w:sz w:val="32"/>
          <w:szCs w:val="32"/>
        </w:rPr>
        <w:t>0</w:t>
      </w:r>
      <w:r>
        <w:rPr>
          <w:rFonts w:hint="eastAsia" w:ascii="仿宋_GB2312" w:hAnsi="宋体" w:eastAsia="仿宋_GB2312" w:cs="仿宋_GB2312"/>
          <w:snapToGrid w:val="0"/>
          <w:w w:val="95"/>
          <w:sz w:val="32"/>
          <w:szCs w:val="32"/>
        </w:rPr>
        <w:t>万元。为进一步规范因公出国（境）费用管理，我县因公出国（境）费用按照零基预算原则，因此因公出国（境）费用预算为零。</w:t>
      </w:r>
    </w:p>
    <w:p>
      <w:pPr>
        <w:numPr>
          <w:ilvl w:val="0"/>
          <w:numId w:val="0"/>
        </w:numPr>
        <w:spacing w:after="0" w:line="560" w:lineRule="exact"/>
        <w:ind w:firstLine="608" w:firstLineChars="200"/>
        <w:jc w:val="both"/>
        <w:rPr>
          <w:rFonts w:ascii="仿宋_GB2312" w:hAnsi="宋体" w:eastAsia="仿宋_GB2312" w:cs="仿宋_GB2312"/>
          <w:w w:val="95"/>
          <w:sz w:val="32"/>
          <w:szCs w:val="32"/>
        </w:rPr>
      </w:pPr>
      <w:r>
        <w:rPr>
          <w:rFonts w:hint="eastAsia" w:ascii="楷体_GB2312" w:hAnsi="楷体_GB2312" w:eastAsia="楷体_GB2312" w:cs="楷体_GB2312"/>
          <w:snapToGrid w:val="0"/>
          <w:w w:val="95"/>
          <w:sz w:val="32"/>
          <w:szCs w:val="32"/>
          <w:lang w:val="en-US" w:eastAsia="zh-CN"/>
        </w:rPr>
        <w:t>2.</w:t>
      </w:r>
      <w:r>
        <w:rPr>
          <w:rFonts w:hint="eastAsia" w:ascii="楷体_GB2312" w:hAnsi="楷体_GB2312" w:eastAsia="楷体_GB2312" w:cs="楷体_GB2312"/>
          <w:snapToGrid w:val="0"/>
          <w:w w:val="95"/>
          <w:sz w:val="32"/>
          <w:szCs w:val="32"/>
        </w:rPr>
        <w:t>公务用车购置及运行费。</w:t>
      </w:r>
      <w:r>
        <w:rPr>
          <w:rFonts w:hint="eastAsia" w:ascii="仿宋_GB2312" w:hAnsi="宋体" w:eastAsia="仿宋_GB2312" w:cs="仿宋_GB2312"/>
          <w:w w:val="95"/>
          <w:sz w:val="32"/>
          <w:szCs w:val="32"/>
        </w:rPr>
        <w:t>2023</w:t>
      </w:r>
      <w:r>
        <w:rPr>
          <w:rFonts w:hint="eastAsia" w:ascii="仿宋_GB2312" w:hAnsi="宋体" w:eastAsia="仿宋_GB2312" w:cs="仿宋_GB2312"/>
          <w:snapToGrid w:val="0"/>
          <w:w w:val="95"/>
          <w:sz w:val="32"/>
          <w:szCs w:val="32"/>
        </w:rPr>
        <w:t>年有预算数</w:t>
      </w:r>
      <w:r>
        <w:rPr>
          <w:rFonts w:hint="eastAsia" w:ascii="仿宋" w:hAnsi="仿宋" w:eastAsia="仿宋"/>
          <w:sz w:val="32"/>
          <w:szCs w:val="32"/>
        </w:rPr>
        <w:t>0.9</w:t>
      </w:r>
      <w:r>
        <w:rPr>
          <w:rFonts w:hint="eastAsia" w:ascii="仿宋_GB2312" w:hAnsi="宋体" w:eastAsia="仿宋_GB2312" w:cs="仿宋_GB2312"/>
          <w:snapToGrid w:val="0"/>
          <w:w w:val="95"/>
          <w:sz w:val="32"/>
          <w:szCs w:val="32"/>
        </w:rPr>
        <w:t>万元。其中：</w:t>
      </w:r>
    </w:p>
    <w:p>
      <w:pPr>
        <w:spacing w:after="0" w:line="560" w:lineRule="exact"/>
        <w:ind w:firstLine="608" w:firstLineChars="200"/>
        <w:jc w:val="both"/>
        <w:rPr>
          <w:rFonts w:ascii="仿宋_GB2312" w:hAnsi="宋体" w:eastAsia="仿宋_GB2312" w:cs="仿宋_GB2312"/>
          <w:w w:val="95"/>
          <w:sz w:val="32"/>
          <w:szCs w:val="32"/>
        </w:rPr>
      </w:pPr>
      <w:r>
        <w:rPr>
          <w:rFonts w:hint="eastAsia" w:ascii="仿宋_GB2312" w:hAnsi="宋体" w:eastAsia="仿宋_GB2312" w:cs="仿宋_GB2312"/>
          <w:snapToGrid w:val="0"/>
          <w:w w:val="95"/>
          <w:sz w:val="32"/>
          <w:szCs w:val="32"/>
        </w:rPr>
        <w:t>（</w:t>
      </w:r>
      <w:r>
        <w:rPr>
          <w:rFonts w:hint="eastAsia" w:ascii="仿宋_GB2312" w:hAnsi="宋体" w:eastAsia="仿宋_GB2312" w:cs="仿宋_GB2312"/>
          <w:w w:val="95"/>
          <w:sz w:val="32"/>
          <w:szCs w:val="32"/>
        </w:rPr>
        <w:t>1</w:t>
      </w:r>
      <w:r>
        <w:rPr>
          <w:rFonts w:hint="eastAsia" w:ascii="仿宋_GB2312" w:hAnsi="宋体" w:eastAsia="仿宋_GB2312" w:cs="仿宋_GB2312"/>
          <w:snapToGrid w:val="0"/>
          <w:w w:val="95"/>
          <w:sz w:val="32"/>
          <w:szCs w:val="32"/>
        </w:rPr>
        <w:t>）公务用车购置费。</w:t>
      </w:r>
      <w:r>
        <w:rPr>
          <w:rFonts w:hint="eastAsia" w:ascii="仿宋_GB2312" w:hAnsi="宋体" w:eastAsia="仿宋_GB2312" w:cs="仿宋_GB2312"/>
          <w:w w:val="95"/>
          <w:sz w:val="32"/>
          <w:szCs w:val="32"/>
        </w:rPr>
        <w:t>2023</w:t>
      </w:r>
      <w:r>
        <w:rPr>
          <w:rFonts w:hint="eastAsia" w:ascii="仿宋_GB2312" w:hAnsi="宋体" w:eastAsia="仿宋_GB2312" w:cs="仿宋_GB2312"/>
          <w:snapToGrid w:val="0"/>
          <w:w w:val="95"/>
          <w:sz w:val="32"/>
          <w:szCs w:val="32"/>
        </w:rPr>
        <w:t>年公务用车购置费预算数为</w:t>
      </w:r>
      <w:r>
        <w:rPr>
          <w:rFonts w:hint="eastAsia" w:ascii="仿宋_GB2312" w:hAnsi="宋体" w:eastAsia="仿宋_GB2312" w:cs="仿宋_GB2312"/>
          <w:w w:val="95"/>
          <w:sz w:val="32"/>
          <w:szCs w:val="32"/>
        </w:rPr>
        <w:t>0.00</w:t>
      </w:r>
      <w:r>
        <w:rPr>
          <w:rFonts w:hint="eastAsia" w:ascii="仿宋_GB2312" w:hAnsi="宋体" w:eastAsia="仿宋_GB2312" w:cs="仿宋_GB2312"/>
          <w:snapToGrid w:val="0"/>
          <w:w w:val="95"/>
          <w:sz w:val="32"/>
          <w:szCs w:val="32"/>
        </w:rPr>
        <w:t>万元（公务用车购置严格按照我县车辆管理及厉行节约有关要求实行总额控制），与</w:t>
      </w:r>
      <w:r>
        <w:rPr>
          <w:rFonts w:hint="eastAsia" w:ascii="仿宋_GB2312" w:hAnsi="宋体" w:eastAsia="仿宋_GB2312" w:cs="仿宋_GB2312"/>
          <w:w w:val="95"/>
          <w:sz w:val="32"/>
          <w:szCs w:val="32"/>
        </w:rPr>
        <w:t>2022</w:t>
      </w:r>
      <w:r>
        <w:rPr>
          <w:rFonts w:hint="eastAsia" w:ascii="仿宋_GB2312" w:hAnsi="宋体" w:eastAsia="仿宋_GB2312" w:cs="仿宋_GB2312"/>
          <w:snapToGrid w:val="0"/>
          <w:w w:val="95"/>
          <w:sz w:val="32"/>
          <w:szCs w:val="32"/>
        </w:rPr>
        <w:t>年预算数持平。</w:t>
      </w:r>
    </w:p>
    <w:p>
      <w:pPr>
        <w:spacing w:after="0" w:line="560" w:lineRule="exact"/>
        <w:ind w:firstLine="608" w:firstLineChars="200"/>
        <w:jc w:val="both"/>
        <w:rPr>
          <w:rFonts w:ascii="仿宋_GB2312" w:hAnsi="宋体" w:eastAsia="仿宋_GB2312" w:cs="仿宋_GB2312"/>
          <w:snapToGrid w:val="0"/>
          <w:w w:val="95"/>
          <w:sz w:val="32"/>
          <w:szCs w:val="32"/>
          <w:highlight w:val="yellow"/>
        </w:rPr>
      </w:pPr>
      <w:r>
        <w:rPr>
          <w:rFonts w:hint="eastAsia" w:ascii="仿宋_GB2312" w:hAnsi="宋体" w:eastAsia="仿宋_GB2312" w:cs="仿宋_GB2312"/>
          <w:snapToGrid w:val="0"/>
          <w:w w:val="95"/>
          <w:sz w:val="32"/>
          <w:szCs w:val="32"/>
        </w:rPr>
        <w:t>（2）公务用车运行费。</w:t>
      </w:r>
      <w:r>
        <w:rPr>
          <w:rFonts w:hint="eastAsia" w:ascii="仿宋_GB2312" w:hAnsi="宋体" w:eastAsia="仿宋_GB2312" w:cs="仿宋_GB2312"/>
          <w:w w:val="95"/>
          <w:sz w:val="32"/>
          <w:szCs w:val="32"/>
        </w:rPr>
        <w:t>2023</w:t>
      </w:r>
      <w:r>
        <w:rPr>
          <w:rFonts w:hint="eastAsia" w:ascii="仿宋_GB2312" w:hAnsi="宋体" w:eastAsia="仿宋_GB2312" w:cs="仿宋_GB2312"/>
          <w:snapToGrid w:val="0"/>
          <w:w w:val="95"/>
          <w:sz w:val="32"/>
          <w:szCs w:val="32"/>
        </w:rPr>
        <w:t>年有预算数</w:t>
      </w:r>
      <w:r>
        <w:rPr>
          <w:rFonts w:hint="eastAsia" w:ascii="仿宋" w:hAnsi="仿宋" w:eastAsia="仿宋"/>
          <w:sz w:val="32"/>
          <w:szCs w:val="32"/>
        </w:rPr>
        <w:t>0.9</w:t>
      </w:r>
      <w:r>
        <w:rPr>
          <w:rFonts w:hint="eastAsia" w:ascii="仿宋_GB2312" w:hAnsi="宋体" w:eastAsia="仿宋_GB2312" w:cs="仿宋_GB2312"/>
          <w:snapToGrid w:val="0"/>
          <w:w w:val="95"/>
          <w:sz w:val="32"/>
          <w:szCs w:val="32"/>
        </w:rPr>
        <w:t>万元。较2022年增长25%，主要原因为工作量增加，下乡出差次数预计增加。单位公务用车实有量0辆，保有量0辆。</w:t>
      </w:r>
    </w:p>
    <w:p>
      <w:pPr>
        <w:spacing w:after="0" w:line="560" w:lineRule="exact"/>
        <w:ind w:firstLine="608" w:firstLineChars="200"/>
        <w:rPr>
          <w:rFonts w:ascii="仿宋" w:hAnsi="仿宋" w:eastAsia="仿宋"/>
          <w:sz w:val="32"/>
          <w:szCs w:val="32"/>
        </w:rPr>
      </w:pPr>
      <w:r>
        <w:rPr>
          <w:rFonts w:hint="eastAsia" w:ascii="楷体_GB2312" w:hAnsi="楷体_GB2312" w:eastAsia="楷体_GB2312" w:cs="楷体_GB2312"/>
          <w:snapToGrid w:val="0"/>
          <w:w w:val="95"/>
          <w:sz w:val="32"/>
          <w:szCs w:val="32"/>
        </w:rPr>
        <w:t>3</w:t>
      </w:r>
      <w:r>
        <w:rPr>
          <w:rFonts w:hint="eastAsia" w:ascii="楷体_GB2312" w:hAnsi="楷体_GB2312" w:eastAsia="楷体_GB2312" w:cs="楷体_GB2312"/>
          <w:snapToGrid w:val="0"/>
          <w:w w:val="95"/>
          <w:sz w:val="32"/>
          <w:szCs w:val="32"/>
          <w:lang w:val="en-US" w:eastAsia="zh-CN"/>
        </w:rPr>
        <w:t>.</w:t>
      </w:r>
      <w:r>
        <w:rPr>
          <w:rFonts w:hint="eastAsia" w:ascii="楷体_GB2312" w:hAnsi="楷体_GB2312" w:eastAsia="楷体_GB2312" w:cs="楷体_GB2312"/>
          <w:snapToGrid w:val="0"/>
          <w:w w:val="95"/>
          <w:sz w:val="32"/>
          <w:szCs w:val="32"/>
        </w:rPr>
        <w:t>公务接待费。</w:t>
      </w:r>
      <w:r>
        <w:rPr>
          <w:rFonts w:hint="eastAsia" w:ascii="仿宋_GB2312" w:hAnsi="宋体" w:eastAsia="仿宋_GB2312" w:cs="仿宋_GB2312"/>
          <w:snapToGrid w:val="0"/>
          <w:w w:val="95"/>
          <w:sz w:val="32"/>
          <w:szCs w:val="32"/>
        </w:rPr>
        <w:t>2023年有预算数0.45万元。和2022年相同，</w:t>
      </w:r>
      <w:r>
        <w:rPr>
          <w:rFonts w:hint="eastAsia" w:ascii="仿宋_GB2312" w:hAnsi="黑体" w:eastAsia="仿宋_GB2312"/>
          <w:snapToGrid w:val="0"/>
          <w:w w:val="95"/>
          <w:sz w:val="32"/>
          <w:szCs w:val="32"/>
        </w:rPr>
        <w:t>我部门按照公务接待相关要求，厉行勤俭节约严格控制不必要的公务接待费支出。</w:t>
      </w:r>
    </w:p>
    <w:p>
      <w:pPr>
        <w:spacing w:after="0" w:line="560" w:lineRule="exact"/>
        <w:ind w:firstLine="608" w:firstLineChars="200"/>
        <w:jc w:val="both"/>
        <w:rPr>
          <w:rFonts w:ascii="黑体" w:hAnsi="黑体" w:eastAsia="黑体" w:cs="黑体"/>
          <w:bCs/>
          <w:snapToGrid w:val="0"/>
          <w:w w:val="95"/>
          <w:sz w:val="32"/>
          <w:szCs w:val="32"/>
        </w:rPr>
      </w:pPr>
      <w:r>
        <w:rPr>
          <w:rFonts w:hint="eastAsia" w:ascii="黑体" w:hAnsi="黑体" w:eastAsia="黑体" w:cs="黑体"/>
          <w:bCs/>
          <w:snapToGrid w:val="0"/>
          <w:w w:val="95"/>
          <w:sz w:val="32"/>
          <w:szCs w:val="32"/>
        </w:rPr>
        <w:t>八、2023年度政府性基金预算支出情况说明</w:t>
      </w:r>
    </w:p>
    <w:p>
      <w:pPr>
        <w:spacing w:after="0" w:line="560" w:lineRule="exact"/>
        <w:ind w:firstLine="608" w:firstLineChars="200"/>
        <w:jc w:val="both"/>
        <w:rPr>
          <w:rFonts w:ascii="楷体_GB2312" w:hAnsi="楷体_GB2312" w:eastAsia="楷体_GB2312" w:cs="楷体_GB2312"/>
          <w:snapToGrid w:val="0"/>
          <w:w w:val="95"/>
          <w:sz w:val="32"/>
          <w:szCs w:val="32"/>
        </w:rPr>
      </w:pPr>
      <w:r>
        <w:rPr>
          <w:rFonts w:hint="eastAsia" w:ascii="仿宋_GB2312" w:hAnsi="仿宋_GB2312" w:eastAsia="仿宋_GB2312" w:cs="仿宋_GB2312"/>
          <w:snapToGrid w:val="0"/>
          <w:w w:val="95"/>
          <w:sz w:val="32"/>
          <w:szCs w:val="32"/>
        </w:rPr>
        <w:t>2023年政府性基金预算当年拨款0万元,比2022年执行数减少0万元。主要原因是我部门2023年度没有政府性基金安排的支出</w:t>
      </w:r>
      <w:r>
        <w:rPr>
          <w:rFonts w:hint="eastAsia" w:ascii="楷体_GB2312" w:hAnsi="楷体_GB2312" w:eastAsia="楷体_GB2312" w:cs="楷体_GB2312"/>
          <w:snapToGrid w:val="0"/>
          <w:w w:val="95"/>
          <w:sz w:val="32"/>
          <w:szCs w:val="32"/>
        </w:rPr>
        <w:t>。</w:t>
      </w:r>
    </w:p>
    <w:p>
      <w:pPr>
        <w:spacing w:after="0" w:line="560" w:lineRule="exact"/>
        <w:ind w:firstLine="608" w:firstLineChars="200"/>
        <w:jc w:val="both"/>
        <w:rPr>
          <w:rFonts w:ascii="黑体" w:hAnsi="黑体" w:eastAsia="黑体" w:cs="黑体"/>
          <w:bCs/>
          <w:snapToGrid w:val="0"/>
          <w:w w:val="95"/>
          <w:sz w:val="32"/>
          <w:szCs w:val="32"/>
        </w:rPr>
      </w:pPr>
      <w:r>
        <w:rPr>
          <w:rFonts w:hint="eastAsia" w:ascii="黑体" w:hAnsi="黑体" w:eastAsia="黑体" w:cs="黑体"/>
          <w:bCs/>
          <w:snapToGrid w:val="0"/>
          <w:w w:val="95"/>
          <w:sz w:val="32"/>
          <w:szCs w:val="32"/>
        </w:rPr>
        <w:t>九、其他公开事项说明</w:t>
      </w:r>
    </w:p>
    <w:p>
      <w:pPr>
        <w:spacing w:after="0" w:line="560" w:lineRule="exact"/>
        <w:ind w:firstLine="608" w:firstLineChars="200"/>
        <w:jc w:val="both"/>
        <w:rPr>
          <w:rFonts w:ascii="楷体_GB2312" w:hAnsi="楷体_GB2312" w:eastAsia="楷体_GB2312" w:cs="楷体_GB2312"/>
          <w:snapToGrid w:val="0"/>
          <w:w w:val="95"/>
          <w:sz w:val="32"/>
          <w:szCs w:val="32"/>
        </w:rPr>
      </w:pPr>
      <w:r>
        <w:rPr>
          <w:rFonts w:hint="eastAsia" w:ascii="楷体_GB2312" w:hAnsi="楷体_GB2312" w:eastAsia="楷体_GB2312" w:cs="楷体_GB2312"/>
          <w:snapToGrid w:val="0"/>
          <w:w w:val="95"/>
          <w:sz w:val="32"/>
          <w:szCs w:val="32"/>
        </w:rPr>
        <w:t>（一）机关运行经费安排使用情况说明。</w:t>
      </w:r>
    </w:p>
    <w:p>
      <w:pPr>
        <w:autoSpaceDE w:val="0"/>
        <w:autoSpaceDN w:val="0"/>
        <w:spacing w:after="0" w:line="560" w:lineRule="exact"/>
        <w:ind w:firstLine="608" w:firstLineChars="200"/>
        <w:jc w:val="both"/>
        <w:rPr>
          <w:rFonts w:hint="eastAsia" w:ascii="仿宋_GB2312" w:hAnsi="仿宋_GB2312" w:eastAsia="仿宋_GB2312" w:cs="仿宋_GB2312"/>
          <w:snapToGrid w:val="0"/>
          <w:w w:val="95"/>
          <w:sz w:val="32"/>
          <w:szCs w:val="32"/>
        </w:rPr>
      </w:pPr>
      <w:r>
        <w:rPr>
          <w:rFonts w:hint="eastAsia" w:ascii="仿宋_GB2312" w:hAnsi="仿宋_GB2312" w:eastAsia="仿宋_GB2312" w:cs="仿宋_GB2312"/>
          <w:snapToGrid w:val="0"/>
          <w:w w:val="95"/>
          <w:sz w:val="32"/>
          <w:szCs w:val="32"/>
        </w:rPr>
        <w:t>2023年部门县级妇联1家行政单位的机关运行经费财政拨款预算9.6万元，比2022年预算增加2.4万元，增长20%。</w:t>
      </w:r>
    </w:p>
    <w:p>
      <w:pPr>
        <w:spacing w:after="0" w:line="560" w:lineRule="exact"/>
        <w:ind w:firstLine="608" w:firstLineChars="200"/>
        <w:jc w:val="both"/>
        <w:rPr>
          <w:rFonts w:ascii="楷体_GB2312" w:hAnsi="楷体_GB2312" w:eastAsia="楷体_GB2312" w:cs="楷体_GB2312"/>
          <w:snapToGrid w:val="0"/>
          <w:w w:val="95"/>
          <w:sz w:val="32"/>
          <w:szCs w:val="32"/>
        </w:rPr>
      </w:pPr>
      <w:r>
        <w:rPr>
          <w:rFonts w:hint="eastAsia" w:ascii="楷体_GB2312" w:hAnsi="楷体_GB2312" w:eastAsia="楷体_GB2312" w:cs="楷体_GB2312"/>
          <w:snapToGrid w:val="0"/>
          <w:w w:val="95"/>
          <w:sz w:val="32"/>
          <w:szCs w:val="32"/>
        </w:rPr>
        <w:t>（二）政府采购情况说明。</w:t>
      </w:r>
    </w:p>
    <w:p>
      <w:pPr>
        <w:autoSpaceDE w:val="0"/>
        <w:autoSpaceDN w:val="0"/>
        <w:spacing w:after="0" w:line="560" w:lineRule="exact"/>
        <w:ind w:firstLine="608" w:firstLineChars="200"/>
        <w:rPr>
          <w:rFonts w:ascii="仿宋_GB2312" w:hAnsi="宋体" w:eastAsia="仿宋_GB2312" w:cs="仿宋_GB2312"/>
          <w:snapToGrid w:val="0"/>
          <w:w w:val="95"/>
          <w:sz w:val="32"/>
          <w:szCs w:val="32"/>
        </w:rPr>
      </w:pPr>
      <w:r>
        <w:rPr>
          <w:rFonts w:hint="eastAsia" w:ascii="仿宋_GB2312" w:hAnsi="宋体" w:eastAsia="仿宋_GB2312" w:cs="仿宋_GB2312"/>
          <w:snapToGrid w:val="0"/>
          <w:w w:val="95"/>
          <w:sz w:val="32"/>
          <w:szCs w:val="32"/>
        </w:rPr>
        <w:t>2023年本部门及所属各预算单位政府采购预算总额0万元，其中：政府采购货物预算0万元、政府采购工程预算0万元、政府采购服务预算0万元。</w:t>
      </w:r>
    </w:p>
    <w:p>
      <w:pPr>
        <w:spacing w:after="0" w:line="560" w:lineRule="exact"/>
        <w:ind w:firstLine="608" w:firstLineChars="200"/>
        <w:jc w:val="both"/>
        <w:rPr>
          <w:rFonts w:ascii="楷体_GB2312" w:hAnsi="楷体_GB2312" w:eastAsia="楷体_GB2312" w:cs="楷体_GB2312"/>
          <w:snapToGrid w:val="0"/>
          <w:w w:val="95"/>
          <w:sz w:val="32"/>
          <w:szCs w:val="32"/>
        </w:rPr>
      </w:pPr>
      <w:r>
        <w:rPr>
          <w:rFonts w:hint="eastAsia" w:ascii="楷体_GB2312" w:hAnsi="楷体_GB2312" w:eastAsia="楷体_GB2312" w:cs="楷体_GB2312"/>
          <w:snapToGrid w:val="0"/>
          <w:w w:val="95"/>
          <w:sz w:val="32"/>
          <w:szCs w:val="32"/>
        </w:rPr>
        <w:t>（三）国有资产占有使用情况说明。</w:t>
      </w:r>
    </w:p>
    <w:p>
      <w:pPr>
        <w:autoSpaceDE w:val="0"/>
        <w:autoSpaceDN w:val="0"/>
        <w:spacing w:after="0" w:line="560" w:lineRule="exact"/>
        <w:ind w:firstLine="608" w:firstLineChars="200"/>
        <w:jc w:val="both"/>
        <w:rPr>
          <w:rFonts w:ascii="仿宋_GB2312" w:hAnsi="宋体" w:eastAsia="仿宋_GB2312" w:cs="仿宋_GB2312"/>
          <w:snapToGrid w:val="0"/>
          <w:w w:val="95"/>
          <w:sz w:val="32"/>
          <w:szCs w:val="32"/>
        </w:rPr>
      </w:pPr>
      <w:r>
        <w:rPr>
          <w:rFonts w:hint="eastAsia" w:ascii="仿宋_GB2312" w:hAnsi="宋体" w:eastAsia="仿宋_GB2312" w:cs="仿宋_GB2312"/>
          <w:snapToGrid w:val="0"/>
          <w:w w:val="95"/>
          <w:sz w:val="32"/>
          <w:szCs w:val="32"/>
        </w:rPr>
        <w:t>截至2023年1月底，本部门及所属各预算单位共有车辆0辆，其中，领导干部用车（含在职和离退休部级干部用车）0辆、机要通信用车0辆、应急保障用车0辆、执法执勤用车0辆、特种专业技术用车0辆、其他用车0辆。单位价值50万元以上通用设备0台（套），单位价值100万元以上专用设备0台（套）。2023年一般公共预算安排对确实无法使用的0辆车进行更新购置。</w:t>
      </w:r>
    </w:p>
    <w:p>
      <w:pPr>
        <w:spacing w:after="0" w:line="560" w:lineRule="exact"/>
        <w:ind w:firstLine="608" w:firstLineChars="200"/>
        <w:jc w:val="both"/>
        <w:rPr>
          <w:rFonts w:ascii="楷体_GB2312" w:hAnsi="楷体_GB2312" w:eastAsia="楷体_GB2312" w:cs="楷体_GB2312"/>
          <w:snapToGrid w:val="0"/>
          <w:w w:val="95"/>
          <w:sz w:val="32"/>
          <w:szCs w:val="32"/>
        </w:rPr>
      </w:pPr>
      <w:r>
        <w:rPr>
          <w:rFonts w:hint="eastAsia" w:ascii="楷体_GB2312" w:hAnsi="楷体_GB2312" w:eastAsia="楷体_GB2312" w:cs="楷体_GB2312"/>
          <w:snapToGrid w:val="0"/>
          <w:w w:val="95"/>
          <w:sz w:val="32"/>
          <w:szCs w:val="32"/>
        </w:rPr>
        <w:t>（四）2023年预算绩效目标管理情况。</w:t>
      </w:r>
    </w:p>
    <w:p>
      <w:pPr>
        <w:spacing w:after="0" w:line="560" w:lineRule="exact"/>
        <w:ind w:firstLine="608" w:firstLineChars="200"/>
        <w:jc w:val="both"/>
        <w:rPr>
          <w:rFonts w:ascii="仿宋_GB2312" w:hAnsi="宋体" w:eastAsia="仿宋_GB2312" w:cs="仿宋_GB2312"/>
          <w:snapToGrid w:val="0"/>
          <w:w w:val="95"/>
          <w:sz w:val="32"/>
          <w:szCs w:val="32"/>
        </w:rPr>
      </w:pPr>
      <w:r>
        <w:rPr>
          <w:rFonts w:hint="eastAsia" w:ascii="仿宋_GB2312" w:hAnsi="宋体" w:eastAsia="仿宋_GB2312" w:cs="仿宋_GB2312"/>
          <w:snapToGrid w:val="0"/>
          <w:w w:val="95"/>
          <w:sz w:val="32"/>
          <w:szCs w:val="32"/>
        </w:rPr>
        <w:t>2023年实现财政支出绩效目标管理全覆盖，实行绩效目标管理12个，资金108.4万元，无政府重大决策和决策部署、影响力大且社会关注度高的项目。</w:t>
      </w:r>
    </w:p>
    <w:p>
      <w:pPr>
        <w:numPr>
          <w:ilvl w:val="0"/>
          <w:numId w:val="2"/>
        </w:numPr>
        <w:spacing w:after="0" w:line="560" w:lineRule="exact"/>
        <w:ind w:firstLine="608" w:firstLineChars="200"/>
        <w:jc w:val="both"/>
        <w:rPr>
          <w:rFonts w:ascii="楷体_GB2312" w:hAnsi="楷体_GB2312" w:eastAsia="楷体_GB2312" w:cs="楷体_GB2312"/>
          <w:snapToGrid w:val="0"/>
          <w:w w:val="95"/>
          <w:sz w:val="32"/>
          <w:szCs w:val="32"/>
        </w:rPr>
      </w:pPr>
      <w:r>
        <w:rPr>
          <w:rFonts w:hint="eastAsia" w:ascii="楷体_GB2312" w:hAnsi="楷体_GB2312" w:eastAsia="楷体_GB2312" w:cs="楷体_GB2312"/>
          <w:snapToGrid w:val="0"/>
          <w:w w:val="95"/>
          <w:sz w:val="32"/>
          <w:szCs w:val="32"/>
        </w:rPr>
        <w:t>扶贫资金管理使用情况及绩效目标情况说明。</w:t>
      </w:r>
    </w:p>
    <w:p>
      <w:pPr>
        <w:spacing w:after="0" w:line="560" w:lineRule="exact"/>
        <w:ind w:firstLine="608" w:firstLineChars="200"/>
        <w:jc w:val="both"/>
        <w:rPr>
          <w:rFonts w:ascii="仿宋_GB2312" w:hAnsi="宋体" w:eastAsia="仿宋_GB2312" w:cs="仿宋_GB2312"/>
          <w:snapToGrid w:val="0"/>
          <w:w w:val="95"/>
          <w:sz w:val="32"/>
          <w:szCs w:val="32"/>
        </w:rPr>
      </w:pPr>
      <w:r>
        <w:rPr>
          <w:rFonts w:hint="eastAsia" w:ascii="仿宋_GB2312" w:hAnsi="宋体" w:eastAsia="仿宋_GB2312" w:cs="仿宋_GB2312"/>
          <w:snapToGrid w:val="0"/>
          <w:w w:val="95"/>
          <w:sz w:val="32"/>
          <w:szCs w:val="32"/>
        </w:rPr>
        <w:t>2023年度无扶贫资金预算安排。</w:t>
      </w:r>
    </w:p>
    <w:p>
      <w:pPr>
        <w:spacing w:after="0" w:line="560" w:lineRule="exact"/>
        <w:ind w:firstLine="608" w:firstLineChars="200"/>
        <w:jc w:val="both"/>
        <w:rPr>
          <w:rFonts w:ascii="楷体_GB2312" w:hAnsi="楷体_GB2312" w:eastAsia="楷体_GB2312" w:cs="楷体_GB2312"/>
          <w:snapToGrid w:val="0"/>
          <w:w w:val="95"/>
          <w:sz w:val="32"/>
          <w:szCs w:val="32"/>
        </w:rPr>
      </w:pPr>
      <w:r>
        <w:rPr>
          <w:rFonts w:hint="eastAsia" w:ascii="楷体_GB2312" w:hAnsi="楷体_GB2312" w:eastAsia="楷体_GB2312" w:cs="楷体_GB2312"/>
          <w:snapToGrid w:val="0"/>
          <w:w w:val="95"/>
          <w:sz w:val="32"/>
          <w:szCs w:val="32"/>
        </w:rPr>
        <w:t>（六）政府债务情况。</w:t>
      </w:r>
    </w:p>
    <w:p>
      <w:pPr>
        <w:spacing w:after="0" w:line="560" w:lineRule="exact"/>
        <w:ind w:firstLine="608" w:firstLineChars="200"/>
        <w:jc w:val="both"/>
        <w:rPr>
          <w:rFonts w:hint="eastAsia" w:ascii="仿宋_GB2312" w:hAnsi="宋体" w:eastAsia="仿宋_GB2312" w:cs="仿宋_GB2312"/>
          <w:snapToGrid w:val="0"/>
          <w:w w:val="95"/>
          <w:sz w:val="32"/>
          <w:szCs w:val="32"/>
        </w:rPr>
      </w:pPr>
      <w:r>
        <w:rPr>
          <w:rFonts w:hint="eastAsia" w:ascii="仿宋_GB2312" w:hAnsi="宋体" w:eastAsia="仿宋_GB2312" w:cs="仿宋_GB2312"/>
          <w:snapToGrid w:val="0"/>
          <w:w w:val="95"/>
          <w:sz w:val="32"/>
          <w:szCs w:val="32"/>
        </w:rPr>
        <w:t>本单位无举借债务情况。</w:t>
      </w:r>
    </w:p>
    <w:p>
      <w:pPr>
        <w:spacing w:after="0" w:line="560" w:lineRule="exact"/>
        <w:ind w:firstLine="608" w:firstLineChars="200"/>
        <w:jc w:val="both"/>
        <w:rPr>
          <w:rFonts w:hint="eastAsia" w:ascii="仿宋_GB2312" w:hAnsi="宋体" w:eastAsia="仿宋_GB2312" w:cs="仿宋_GB2312"/>
          <w:snapToGrid w:val="0"/>
          <w:w w:val="95"/>
          <w:sz w:val="32"/>
          <w:szCs w:val="32"/>
        </w:rPr>
      </w:pPr>
    </w:p>
    <w:p>
      <w:pPr>
        <w:spacing w:after="0" w:line="560" w:lineRule="exact"/>
        <w:jc w:val="center"/>
        <w:rPr>
          <w:rFonts w:ascii="方正小标宋简体" w:hAnsi="方正小标宋简体" w:eastAsia="方正小标宋简体" w:cs="方正小标宋简体"/>
          <w:bCs/>
          <w:snapToGrid w:val="0"/>
          <w:w w:val="95"/>
          <w:sz w:val="44"/>
          <w:szCs w:val="44"/>
        </w:rPr>
      </w:pPr>
      <w:r>
        <w:rPr>
          <w:rFonts w:hint="eastAsia" w:ascii="方正小标宋简体" w:hAnsi="方正小标宋简体" w:eastAsia="方正小标宋简体" w:cs="方正小标宋简体"/>
          <w:bCs/>
          <w:snapToGrid w:val="0"/>
          <w:w w:val="95"/>
          <w:sz w:val="44"/>
          <w:szCs w:val="44"/>
        </w:rPr>
        <w:t>第四部分  名词解释</w:t>
      </w:r>
    </w:p>
    <w:p>
      <w:pPr>
        <w:spacing w:after="0" w:line="560" w:lineRule="exact"/>
        <w:jc w:val="center"/>
        <w:rPr>
          <w:rFonts w:ascii="黑体" w:hAnsi="黑体" w:eastAsia="黑体"/>
          <w:bCs/>
          <w:snapToGrid w:val="0"/>
          <w:w w:val="95"/>
          <w:sz w:val="32"/>
          <w:szCs w:val="32"/>
        </w:rPr>
      </w:pPr>
    </w:p>
    <w:p>
      <w:pPr>
        <w:spacing w:after="0" w:line="560" w:lineRule="exact"/>
        <w:ind w:firstLine="640" w:firstLineChars="200"/>
        <w:jc w:val="both"/>
        <w:rPr>
          <w:rFonts w:ascii="仿宋_GB2312" w:hAnsi="宋体" w:eastAsia="仿宋_GB2312" w:cs="宋体"/>
          <w:sz w:val="32"/>
          <w:szCs w:val="32"/>
        </w:rPr>
      </w:pPr>
      <w:r>
        <w:rPr>
          <w:rFonts w:hint="eastAsia" w:ascii="黑体" w:hAnsi="黑体" w:eastAsia="黑体" w:cs="黑体"/>
          <w:sz w:val="32"/>
          <w:szCs w:val="32"/>
        </w:rPr>
        <w:t>一、一般公共预算拨款收入</w:t>
      </w:r>
      <w:r>
        <w:rPr>
          <w:rFonts w:hint="eastAsia" w:ascii="仿宋_GB2312" w:hAnsi="宋体" w:eastAsia="仿宋_GB2312" w:cs="宋体"/>
          <w:sz w:val="32"/>
          <w:szCs w:val="32"/>
        </w:rPr>
        <w:t>：指本级财政当年拨付的资金。</w:t>
      </w:r>
    </w:p>
    <w:p>
      <w:pPr>
        <w:spacing w:after="0" w:line="560" w:lineRule="exact"/>
        <w:ind w:firstLine="640" w:firstLineChars="200"/>
        <w:jc w:val="both"/>
        <w:rPr>
          <w:rFonts w:ascii="仿宋_GB2312" w:hAnsi="仿宋_GB2312" w:eastAsia="仿宋_GB2312" w:cs="仿宋_GB2312"/>
          <w:sz w:val="32"/>
          <w:szCs w:val="32"/>
        </w:rPr>
      </w:pPr>
      <w:r>
        <w:rPr>
          <w:rFonts w:hint="eastAsia" w:ascii="黑体" w:hAnsi="黑体" w:eastAsia="黑体"/>
          <w:sz w:val="32"/>
          <w:szCs w:val="32"/>
        </w:rPr>
        <w:t>二、其他收入：</w:t>
      </w:r>
      <w:r>
        <w:rPr>
          <w:rFonts w:hint="eastAsia" w:ascii="仿宋_GB2312" w:hAnsi="仿宋_GB2312" w:eastAsia="仿宋_GB2312" w:cs="仿宋_GB2312"/>
          <w:sz w:val="32"/>
          <w:szCs w:val="32"/>
        </w:rPr>
        <w:t>指除上述“一般公共预算拨款收入”、“事业收入”、“事业单位经营收入”等以外的收入。主要是按规定动用的售房收入、存款利息收入等。</w:t>
      </w:r>
    </w:p>
    <w:p>
      <w:pPr>
        <w:spacing w:after="0" w:line="560" w:lineRule="exact"/>
        <w:ind w:firstLine="640" w:firstLineChars="200"/>
        <w:jc w:val="both"/>
        <w:rPr>
          <w:rFonts w:ascii="仿宋_GB2312" w:hAnsi="仿宋_GB2312" w:eastAsia="仿宋_GB2312" w:cs="仿宋_GB2312"/>
          <w:sz w:val="32"/>
          <w:szCs w:val="32"/>
        </w:rPr>
      </w:pPr>
      <w:r>
        <w:rPr>
          <w:rFonts w:hint="eastAsia" w:ascii="黑体" w:hAnsi="黑体" w:eastAsia="黑体"/>
          <w:sz w:val="32"/>
          <w:szCs w:val="32"/>
        </w:rPr>
        <w:t>三、上年结转：</w:t>
      </w:r>
      <w:r>
        <w:rPr>
          <w:rFonts w:hint="eastAsia" w:ascii="仿宋_GB2312" w:hAnsi="仿宋_GB2312" w:eastAsia="仿宋_GB2312" w:cs="仿宋_GB2312"/>
          <w:sz w:val="32"/>
          <w:szCs w:val="32"/>
        </w:rPr>
        <w:t>指以前年度安排、结转到本年仍按原规定用途继续使用的资金。</w:t>
      </w:r>
    </w:p>
    <w:p>
      <w:pPr>
        <w:spacing w:after="0" w:line="560" w:lineRule="exact"/>
        <w:ind w:firstLine="640" w:firstLineChars="200"/>
        <w:jc w:val="both"/>
        <w:rPr>
          <w:rFonts w:ascii="仿宋_GB2312" w:hAnsi="仿宋_GB2312" w:eastAsia="仿宋_GB2312" w:cs="仿宋_GB2312"/>
          <w:sz w:val="32"/>
          <w:szCs w:val="32"/>
        </w:rPr>
      </w:pPr>
      <w:r>
        <w:rPr>
          <w:rFonts w:hint="eastAsia" w:ascii="黑体" w:hAnsi="黑体" w:eastAsia="黑体" w:cs="黑体"/>
          <w:sz w:val="32"/>
          <w:szCs w:val="32"/>
        </w:rPr>
        <w:t>四、一般公共服务支出：</w:t>
      </w:r>
      <w:r>
        <w:rPr>
          <w:rFonts w:hint="eastAsia" w:ascii="仿宋_GB2312" w:hAnsi="仿宋_GB2312" w:eastAsia="仿宋_GB2312" w:cs="仿宋_GB2312"/>
          <w:sz w:val="32"/>
          <w:szCs w:val="32"/>
        </w:rPr>
        <w:t>反应政府提供一般公共服务的支出。</w:t>
      </w:r>
    </w:p>
    <w:p>
      <w:pPr>
        <w:autoSpaceDE w:val="0"/>
        <w:autoSpaceDN w:val="0"/>
        <w:spacing w:after="0" w:line="560" w:lineRule="exact"/>
        <w:ind w:firstLine="640" w:firstLineChars="200"/>
        <w:jc w:val="both"/>
        <w:rPr>
          <w:rFonts w:ascii="仿宋_GB2312" w:eastAsia="仿宋_GB2312" w:cs="仿宋_GB2312" w:hAnsiTheme="minorHAnsi"/>
          <w:sz w:val="32"/>
          <w:szCs w:val="32"/>
        </w:rPr>
      </w:pPr>
      <w:r>
        <w:rPr>
          <w:rFonts w:hint="eastAsia" w:ascii="黑体" w:hAnsi="黑体" w:eastAsia="黑体"/>
          <w:sz w:val="32"/>
          <w:szCs w:val="32"/>
        </w:rPr>
        <w:t>五</w:t>
      </w:r>
      <w:r>
        <w:rPr>
          <w:rFonts w:ascii="黑体" w:hAnsi="黑体" w:eastAsia="黑体"/>
          <w:sz w:val="32"/>
          <w:szCs w:val="32"/>
        </w:rPr>
        <w:t>、基本</w:t>
      </w:r>
      <w:r>
        <w:rPr>
          <w:rFonts w:hint="eastAsia" w:ascii="黑体" w:hAnsi="黑体" w:eastAsia="黑体"/>
          <w:sz w:val="32"/>
          <w:szCs w:val="32"/>
        </w:rPr>
        <w:t>支出：</w:t>
      </w:r>
      <w:r>
        <w:rPr>
          <w:rFonts w:hint="eastAsia" w:ascii="仿宋_GB2312" w:hAnsi="仿宋_GB2312" w:eastAsia="仿宋_GB2312" w:cs="仿宋_GB2312"/>
          <w:sz w:val="32"/>
          <w:szCs w:val="32"/>
        </w:rPr>
        <w:t>指为保障机构正常运转、完成日常工作任务而发生的人员支出和公用支出。</w:t>
      </w:r>
    </w:p>
    <w:p>
      <w:pPr>
        <w:autoSpaceDE w:val="0"/>
        <w:autoSpaceDN w:val="0"/>
        <w:spacing w:after="0" w:line="560" w:lineRule="exact"/>
        <w:ind w:firstLine="640" w:firstLineChars="200"/>
        <w:jc w:val="both"/>
        <w:rPr>
          <w:rFonts w:ascii="仿宋" w:hAnsi="仿宋" w:eastAsia="仿宋"/>
          <w:sz w:val="32"/>
          <w:szCs w:val="32"/>
        </w:rPr>
      </w:pPr>
      <w:r>
        <w:rPr>
          <w:rFonts w:hint="eastAsia" w:ascii="黑体" w:hAnsi="黑体" w:eastAsia="黑体"/>
          <w:sz w:val="32"/>
          <w:szCs w:val="32"/>
        </w:rPr>
        <w:t>六</w:t>
      </w:r>
      <w:r>
        <w:rPr>
          <w:rFonts w:ascii="黑体" w:hAnsi="黑体" w:eastAsia="黑体"/>
          <w:sz w:val="32"/>
          <w:szCs w:val="32"/>
        </w:rPr>
        <w:t>、</w:t>
      </w:r>
      <w:r>
        <w:rPr>
          <w:rFonts w:hint="eastAsia" w:ascii="黑体" w:hAnsi="黑体" w:eastAsia="黑体"/>
          <w:sz w:val="32"/>
          <w:szCs w:val="32"/>
        </w:rPr>
        <w:t>项目支出：</w:t>
      </w:r>
      <w:r>
        <w:rPr>
          <w:rFonts w:hint="eastAsia" w:ascii="仿宋_GB2312" w:hAnsi="仿宋_GB2312" w:eastAsia="仿宋_GB2312" w:cs="仿宋_GB2312"/>
          <w:sz w:val="32"/>
          <w:szCs w:val="32"/>
        </w:rPr>
        <w:t>指在基本支出之外为完成特定行政任务或事业发展目标所发生的支出。</w:t>
      </w:r>
    </w:p>
    <w:p>
      <w:pPr>
        <w:autoSpaceDE w:val="0"/>
        <w:autoSpaceDN w:val="0"/>
        <w:spacing w:after="0" w:line="560" w:lineRule="exact"/>
        <w:ind w:firstLine="640" w:firstLineChars="200"/>
        <w:jc w:val="both"/>
        <w:rPr>
          <w:rFonts w:ascii="仿宋" w:hAnsi="仿宋" w:eastAsia="仿宋"/>
          <w:sz w:val="32"/>
          <w:szCs w:val="32"/>
        </w:rPr>
      </w:pPr>
      <w:r>
        <w:rPr>
          <w:rFonts w:hint="eastAsia" w:ascii="黑体" w:hAnsi="黑体" w:eastAsia="黑体" w:cs="黑体"/>
          <w:sz w:val="32"/>
          <w:szCs w:val="32"/>
        </w:rPr>
        <w:t>七、住房保障支出：</w:t>
      </w:r>
      <w:r>
        <w:rPr>
          <w:rFonts w:hint="eastAsia" w:ascii="仿宋_GB2312" w:hAnsi="仿宋_GB2312" w:eastAsia="仿宋_GB2312" w:cs="仿宋_GB2312"/>
          <w:sz w:val="32"/>
          <w:szCs w:val="32"/>
        </w:rPr>
        <w:t>集中反映政府用于住房方面的支出。</w:t>
      </w:r>
    </w:p>
    <w:p>
      <w:pPr>
        <w:autoSpaceDE w:val="0"/>
        <w:autoSpaceDN w:val="0"/>
        <w:spacing w:after="0" w:line="560" w:lineRule="exact"/>
        <w:ind w:firstLine="640" w:firstLineChars="200"/>
        <w:jc w:val="both"/>
        <w:rPr>
          <w:rFonts w:ascii="仿宋_GB2312" w:hAnsi="仿宋_GB2312" w:eastAsia="仿宋_GB2312" w:cs="仿宋_GB2312"/>
          <w:sz w:val="32"/>
          <w:szCs w:val="32"/>
        </w:rPr>
      </w:pPr>
      <w:r>
        <w:rPr>
          <w:rFonts w:hint="eastAsia" w:ascii="黑体" w:hAnsi="黑体" w:eastAsia="黑体" w:cs="黑体"/>
          <w:sz w:val="32"/>
          <w:szCs w:val="32"/>
        </w:rPr>
        <w:t>八、机关运行</w:t>
      </w:r>
      <w:r>
        <w:rPr>
          <w:rFonts w:hint="eastAsia" w:ascii="黑体" w:hAnsi="黑体" w:eastAsia="黑体"/>
          <w:sz w:val="32"/>
          <w:szCs w:val="32"/>
        </w:rPr>
        <w:t>经费：</w:t>
      </w:r>
      <w:r>
        <w:rPr>
          <w:rFonts w:hint="eastAsia" w:ascii="仿宋_GB2312" w:hAnsi="仿宋_GB2312" w:eastAsia="仿宋_GB2312" w:cs="仿宋_GB2312"/>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autoSpaceDE w:val="0"/>
        <w:autoSpaceDN w:val="0"/>
        <w:spacing w:after="0" w:line="560" w:lineRule="exact"/>
        <w:ind w:firstLine="640" w:firstLineChars="200"/>
        <w:jc w:val="both"/>
        <w:rPr>
          <w:rFonts w:ascii="仿宋_GB2312" w:hAnsi="仿宋_GB2312" w:eastAsia="仿宋_GB2312" w:cs="仿宋_GB2312"/>
          <w:sz w:val="32"/>
          <w:szCs w:val="32"/>
        </w:rPr>
      </w:pPr>
      <w:r>
        <w:rPr>
          <w:rFonts w:hint="eastAsia" w:ascii="黑体" w:hAnsi="黑体" w:eastAsia="黑体" w:cs="黑体"/>
          <w:sz w:val="32"/>
          <w:szCs w:val="32"/>
        </w:rPr>
        <w:t>九、“三公”经费：</w:t>
      </w:r>
      <w:r>
        <w:rPr>
          <w:rFonts w:hint="eastAsia" w:ascii="仿宋_GB2312" w:hAnsi="仿宋_GB2312" w:eastAsia="仿宋_GB2312" w:cs="仿宋_GB2312"/>
          <w:sz w:val="32"/>
          <w:szCs w:val="32"/>
        </w:rPr>
        <w:t>包括因公出国（境）费、公务接待费和公务用车购置及运行费。因公出国（境）费，指单位工作人员公务出国（境）的住宿费、旅费、伙食补助费、杂费、培训费等支出。公务接待费，指单位按规定开支的各类公务接待（含外宾接待）支出。公务用车购置及运行费，指单位公务用车购置费及租用费、燃料费、维修费、过路过桥费、保险费、安全奖励费用等支出，公务用车指用于履行公务的机动车辆，包括领导干部专车、一般公务用车和执法执勤用车。</w:t>
      </w:r>
    </w:p>
    <w:p>
      <w:pPr>
        <w:spacing w:after="0" w:line="560" w:lineRule="exact"/>
        <w:ind w:firstLine="640" w:firstLineChars="200"/>
        <w:jc w:val="both"/>
        <w:rPr>
          <w:rFonts w:ascii="仿宋_GB2312" w:hAnsi="仿宋_GB2312" w:eastAsia="仿宋_GB2312" w:cs="仿宋_GB2312"/>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重点项目：</w:t>
      </w:r>
      <w:r>
        <w:rPr>
          <w:rFonts w:hint="eastAsia" w:ascii="仿宋_GB2312" w:hAnsi="仿宋_GB2312" w:eastAsia="仿宋_GB2312" w:cs="仿宋_GB2312"/>
          <w:sz w:val="32"/>
          <w:szCs w:val="32"/>
        </w:rPr>
        <w:t>贯彻落实自治区党委、政府重大方针政策和决策部署的项目，覆盖面广、影响力大、社会关注度高、实施期长的项目，与本部门职能职责密切相关的项目或预算安排支出相对较大的项目（具体重点项目由各部门结合实际自行确定）。</w:t>
      </w:r>
    </w:p>
    <w:p>
      <w:pPr>
        <w:rPr>
          <w:rFonts w:ascii="仿宋_GB2312" w:hAnsi="宋体" w:eastAsia="仿宋_GB2312" w:cs="宋体"/>
          <w:sz w:val="32"/>
          <w:szCs w:val="32"/>
        </w:rPr>
      </w:pPr>
    </w:p>
    <w:sectPr>
      <w:footerReference r:id="rId3" w:type="default"/>
      <w:pgSz w:w="11906" w:h="16838"/>
      <w:pgMar w:top="1440" w:right="1800" w:bottom="1440" w:left="1800" w:header="708" w:footer="708" w:gutter="0"/>
      <w:pgNumType w:fmt="numberInDash" w:start="1"/>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4098" o:spid="_x0000_s4098"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2"/>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  \* MERGEFORMAT </w:instrText>
                </w:r>
                <w:r>
                  <w:rPr>
                    <w:rFonts w:hint="eastAsia" w:ascii="仿宋" w:hAnsi="仿宋" w:eastAsia="仿宋" w:cs="仿宋"/>
                    <w:sz w:val="24"/>
                    <w:szCs w:val="24"/>
                  </w:rPr>
                  <w:fldChar w:fldCharType="separate"/>
                </w:r>
                <w:r>
                  <w:rPr>
                    <w:rFonts w:ascii="仿宋" w:hAnsi="仿宋" w:eastAsia="仿宋" w:cs="仿宋"/>
                    <w:sz w:val="24"/>
                    <w:szCs w:val="24"/>
                  </w:rPr>
                  <w:t>- 5 -</w:t>
                </w:r>
                <w:r>
                  <w:rPr>
                    <w:rFonts w:hint="eastAsia" w:ascii="仿宋" w:hAnsi="仿宋" w:eastAsia="仿宋" w:cs="仿宋"/>
                    <w:sz w:val="24"/>
                    <w:szCs w:val="24"/>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6D0B4C2"/>
    <w:multiLevelType w:val="singleLevel"/>
    <w:tmpl w:val="E6D0B4C2"/>
    <w:lvl w:ilvl="0" w:tentative="0">
      <w:start w:val="2"/>
      <w:numFmt w:val="chineseCounting"/>
      <w:suff w:val="space"/>
      <w:lvlText w:val="第%1部分"/>
      <w:lvlJc w:val="left"/>
      <w:rPr>
        <w:rFonts w:hint="eastAsia"/>
      </w:rPr>
    </w:lvl>
  </w:abstractNum>
  <w:abstractNum w:abstractNumId="1">
    <w:nsid w:val="22B1E231"/>
    <w:multiLevelType w:val="singleLevel"/>
    <w:tmpl w:val="22B1E231"/>
    <w:lvl w:ilvl="0" w:tentative="0">
      <w:start w:val="5"/>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hdrShapeDefaults>
    <o:shapelayout v:ext="edit">
      <o:idmap v:ext="edit" data="3,4"/>
    </o:shapelayout>
  </w:hdrShapeDefaults>
  <w:compat>
    <w:useFELayout/>
    <w:compatSetting w:name="compatibilityMode" w:uri="http://schemas.microsoft.com/office/word" w:val="12"/>
  </w:compat>
  <w:rsids>
    <w:rsidRoot w:val="00D31D50"/>
    <w:rsid w:val="000068A0"/>
    <w:rsid w:val="000131C8"/>
    <w:rsid w:val="000149BB"/>
    <w:rsid w:val="000205B6"/>
    <w:rsid w:val="00043B76"/>
    <w:rsid w:val="00056E62"/>
    <w:rsid w:val="00065AC2"/>
    <w:rsid w:val="00094F3E"/>
    <w:rsid w:val="000B08E5"/>
    <w:rsid w:val="000C4FC1"/>
    <w:rsid w:val="000D20B1"/>
    <w:rsid w:val="000E24EC"/>
    <w:rsid w:val="001150CF"/>
    <w:rsid w:val="00121B3A"/>
    <w:rsid w:val="00124AFB"/>
    <w:rsid w:val="00135D9C"/>
    <w:rsid w:val="00141B97"/>
    <w:rsid w:val="001468A9"/>
    <w:rsid w:val="00170AE9"/>
    <w:rsid w:val="001834FB"/>
    <w:rsid w:val="0019029C"/>
    <w:rsid w:val="00194943"/>
    <w:rsid w:val="001A70AC"/>
    <w:rsid w:val="001A75E6"/>
    <w:rsid w:val="001B3308"/>
    <w:rsid w:val="001B7DD1"/>
    <w:rsid w:val="001D2123"/>
    <w:rsid w:val="001D3C35"/>
    <w:rsid w:val="001E1206"/>
    <w:rsid w:val="001E5C57"/>
    <w:rsid w:val="00217E49"/>
    <w:rsid w:val="00221544"/>
    <w:rsid w:val="00230DD0"/>
    <w:rsid w:val="00232036"/>
    <w:rsid w:val="0025255C"/>
    <w:rsid w:val="00265B6C"/>
    <w:rsid w:val="00287C81"/>
    <w:rsid w:val="002A1252"/>
    <w:rsid w:val="002D1A38"/>
    <w:rsid w:val="002D2DC7"/>
    <w:rsid w:val="002E1A51"/>
    <w:rsid w:val="002F4101"/>
    <w:rsid w:val="00305532"/>
    <w:rsid w:val="00306918"/>
    <w:rsid w:val="003104C5"/>
    <w:rsid w:val="00323B43"/>
    <w:rsid w:val="003431FF"/>
    <w:rsid w:val="003502AC"/>
    <w:rsid w:val="00352A47"/>
    <w:rsid w:val="00352BBB"/>
    <w:rsid w:val="003601CD"/>
    <w:rsid w:val="0038379C"/>
    <w:rsid w:val="00395909"/>
    <w:rsid w:val="003B5AE7"/>
    <w:rsid w:val="003C16A9"/>
    <w:rsid w:val="003D37D8"/>
    <w:rsid w:val="003D3D01"/>
    <w:rsid w:val="003D422F"/>
    <w:rsid w:val="003D5C23"/>
    <w:rsid w:val="003F6AD7"/>
    <w:rsid w:val="00402B15"/>
    <w:rsid w:val="004058CC"/>
    <w:rsid w:val="004237CC"/>
    <w:rsid w:val="00426133"/>
    <w:rsid w:val="0042770D"/>
    <w:rsid w:val="00432BA4"/>
    <w:rsid w:val="004358AB"/>
    <w:rsid w:val="00440A28"/>
    <w:rsid w:val="00460611"/>
    <w:rsid w:val="0046244B"/>
    <w:rsid w:val="00487080"/>
    <w:rsid w:val="0049496C"/>
    <w:rsid w:val="0049525C"/>
    <w:rsid w:val="00495932"/>
    <w:rsid w:val="004A2C77"/>
    <w:rsid w:val="004C35E0"/>
    <w:rsid w:val="004C3E48"/>
    <w:rsid w:val="004D69F7"/>
    <w:rsid w:val="00504015"/>
    <w:rsid w:val="00512CA9"/>
    <w:rsid w:val="00517341"/>
    <w:rsid w:val="00530EE9"/>
    <w:rsid w:val="00553982"/>
    <w:rsid w:val="00563A08"/>
    <w:rsid w:val="00582C6C"/>
    <w:rsid w:val="00587AC9"/>
    <w:rsid w:val="00590A3C"/>
    <w:rsid w:val="00596433"/>
    <w:rsid w:val="005B025C"/>
    <w:rsid w:val="005B4BD7"/>
    <w:rsid w:val="005D69C8"/>
    <w:rsid w:val="00605E6C"/>
    <w:rsid w:val="00622816"/>
    <w:rsid w:val="00622E39"/>
    <w:rsid w:val="0062627F"/>
    <w:rsid w:val="0064767A"/>
    <w:rsid w:val="00652C2E"/>
    <w:rsid w:val="0065762C"/>
    <w:rsid w:val="006761A8"/>
    <w:rsid w:val="006836BE"/>
    <w:rsid w:val="006B5F1C"/>
    <w:rsid w:val="006D1614"/>
    <w:rsid w:val="006D6DCD"/>
    <w:rsid w:val="006E49C0"/>
    <w:rsid w:val="006F4D29"/>
    <w:rsid w:val="0070063A"/>
    <w:rsid w:val="00710F52"/>
    <w:rsid w:val="007400C8"/>
    <w:rsid w:val="007442FD"/>
    <w:rsid w:val="00761050"/>
    <w:rsid w:val="00761184"/>
    <w:rsid w:val="0077607A"/>
    <w:rsid w:val="007848AB"/>
    <w:rsid w:val="0079768E"/>
    <w:rsid w:val="007A0624"/>
    <w:rsid w:val="007A0D64"/>
    <w:rsid w:val="007A581C"/>
    <w:rsid w:val="007C2FC3"/>
    <w:rsid w:val="007F3C88"/>
    <w:rsid w:val="007F64B4"/>
    <w:rsid w:val="007F65E5"/>
    <w:rsid w:val="008000EE"/>
    <w:rsid w:val="0081287C"/>
    <w:rsid w:val="008128B3"/>
    <w:rsid w:val="00816270"/>
    <w:rsid w:val="00852050"/>
    <w:rsid w:val="0085542A"/>
    <w:rsid w:val="008607B7"/>
    <w:rsid w:val="0088342B"/>
    <w:rsid w:val="00894ACA"/>
    <w:rsid w:val="008A3245"/>
    <w:rsid w:val="008A4248"/>
    <w:rsid w:val="008A4728"/>
    <w:rsid w:val="008B7726"/>
    <w:rsid w:val="008C7ECD"/>
    <w:rsid w:val="008D1D05"/>
    <w:rsid w:val="009309D0"/>
    <w:rsid w:val="0099619A"/>
    <w:rsid w:val="009B58F6"/>
    <w:rsid w:val="009C1E95"/>
    <w:rsid w:val="009D2FE1"/>
    <w:rsid w:val="009D379B"/>
    <w:rsid w:val="009E2D20"/>
    <w:rsid w:val="009E2E9D"/>
    <w:rsid w:val="009F305D"/>
    <w:rsid w:val="00A0343F"/>
    <w:rsid w:val="00A06BD4"/>
    <w:rsid w:val="00A201BF"/>
    <w:rsid w:val="00A25DF5"/>
    <w:rsid w:val="00A34078"/>
    <w:rsid w:val="00A53E73"/>
    <w:rsid w:val="00A729A7"/>
    <w:rsid w:val="00A80816"/>
    <w:rsid w:val="00A81D11"/>
    <w:rsid w:val="00A953D2"/>
    <w:rsid w:val="00AC23D3"/>
    <w:rsid w:val="00AD10B3"/>
    <w:rsid w:val="00B50553"/>
    <w:rsid w:val="00B63635"/>
    <w:rsid w:val="00B703F3"/>
    <w:rsid w:val="00B75BFC"/>
    <w:rsid w:val="00B8335C"/>
    <w:rsid w:val="00B95D6E"/>
    <w:rsid w:val="00B96172"/>
    <w:rsid w:val="00BA7DC2"/>
    <w:rsid w:val="00BE5768"/>
    <w:rsid w:val="00BF0EB4"/>
    <w:rsid w:val="00BF1BD3"/>
    <w:rsid w:val="00C11F5B"/>
    <w:rsid w:val="00C13A1F"/>
    <w:rsid w:val="00C25C61"/>
    <w:rsid w:val="00C448C2"/>
    <w:rsid w:val="00C5220F"/>
    <w:rsid w:val="00C63515"/>
    <w:rsid w:val="00C70CB5"/>
    <w:rsid w:val="00C81ACF"/>
    <w:rsid w:val="00C91B79"/>
    <w:rsid w:val="00C9253E"/>
    <w:rsid w:val="00CB10F0"/>
    <w:rsid w:val="00CC10CA"/>
    <w:rsid w:val="00CD3051"/>
    <w:rsid w:val="00CD3280"/>
    <w:rsid w:val="00CD62BB"/>
    <w:rsid w:val="00CE31FA"/>
    <w:rsid w:val="00CF42AF"/>
    <w:rsid w:val="00CF7606"/>
    <w:rsid w:val="00D21895"/>
    <w:rsid w:val="00D31D50"/>
    <w:rsid w:val="00D34960"/>
    <w:rsid w:val="00D43550"/>
    <w:rsid w:val="00D46130"/>
    <w:rsid w:val="00D464FE"/>
    <w:rsid w:val="00D97CB3"/>
    <w:rsid w:val="00DA7B43"/>
    <w:rsid w:val="00DA7F4C"/>
    <w:rsid w:val="00DB4D5A"/>
    <w:rsid w:val="00DD50B9"/>
    <w:rsid w:val="00DF1715"/>
    <w:rsid w:val="00DF43DA"/>
    <w:rsid w:val="00E0198F"/>
    <w:rsid w:val="00E0533C"/>
    <w:rsid w:val="00E57825"/>
    <w:rsid w:val="00E631FE"/>
    <w:rsid w:val="00E83A7C"/>
    <w:rsid w:val="00E92477"/>
    <w:rsid w:val="00E93D3B"/>
    <w:rsid w:val="00EA1231"/>
    <w:rsid w:val="00EA6CAC"/>
    <w:rsid w:val="00EB06C8"/>
    <w:rsid w:val="00EB2EEC"/>
    <w:rsid w:val="00EB3DBD"/>
    <w:rsid w:val="00EB6AAB"/>
    <w:rsid w:val="00EC3536"/>
    <w:rsid w:val="00EC5683"/>
    <w:rsid w:val="00ED03FA"/>
    <w:rsid w:val="00F146F5"/>
    <w:rsid w:val="00F31A7F"/>
    <w:rsid w:val="00F31FA4"/>
    <w:rsid w:val="00F356D4"/>
    <w:rsid w:val="00F56AC7"/>
    <w:rsid w:val="00F57CAD"/>
    <w:rsid w:val="00F607D9"/>
    <w:rsid w:val="00F612AE"/>
    <w:rsid w:val="00FA3F0F"/>
    <w:rsid w:val="00FA7B90"/>
    <w:rsid w:val="00FC1081"/>
    <w:rsid w:val="00FC1E8E"/>
    <w:rsid w:val="00FC5BEC"/>
    <w:rsid w:val="00FF0699"/>
    <w:rsid w:val="00FF5D20"/>
    <w:rsid w:val="00FF60EC"/>
    <w:rsid w:val="0315693C"/>
    <w:rsid w:val="04430C71"/>
    <w:rsid w:val="065D5EDD"/>
    <w:rsid w:val="07250A96"/>
    <w:rsid w:val="07D44307"/>
    <w:rsid w:val="0924152B"/>
    <w:rsid w:val="0B1152F4"/>
    <w:rsid w:val="0C636302"/>
    <w:rsid w:val="0CD0480F"/>
    <w:rsid w:val="0D59290B"/>
    <w:rsid w:val="0E2F7752"/>
    <w:rsid w:val="125A6927"/>
    <w:rsid w:val="13412828"/>
    <w:rsid w:val="1778523C"/>
    <w:rsid w:val="17A74C5B"/>
    <w:rsid w:val="189C1891"/>
    <w:rsid w:val="1A494651"/>
    <w:rsid w:val="1B34714F"/>
    <w:rsid w:val="1C9C618E"/>
    <w:rsid w:val="1EDD11B4"/>
    <w:rsid w:val="23536EC9"/>
    <w:rsid w:val="244E1C3A"/>
    <w:rsid w:val="27D27589"/>
    <w:rsid w:val="29CF7AF1"/>
    <w:rsid w:val="2AA83287"/>
    <w:rsid w:val="2C0F4C4B"/>
    <w:rsid w:val="2C373DAD"/>
    <w:rsid w:val="2FA74BF7"/>
    <w:rsid w:val="34557741"/>
    <w:rsid w:val="34906EE1"/>
    <w:rsid w:val="356B28DD"/>
    <w:rsid w:val="35B3199D"/>
    <w:rsid w:val="38005D93"/>
    <w:rsid w:val="3BA67643"/>
    <w:rsid w:val="3BAF477C"/>
    <w:rsid w:val="3BB3514C"/>
    <w:rsid w:val="3BB85381"/>
    <w:rsid w:val="3BC70C62"/>
    <w:rsid w:val="3C8E5881"/>
    <w:rsid w:val="3FAB5D8A"/>
    <w:rsid w:val="400254A4"/>
    <w:rsid w:val="40FB5855"/>
    <w:rsid w:val="45B63C47"/>
    <w:rsid w:val="46201A61"/>
    <w:rsid w:val="480041BE"/>
    <w:rsid w:val="481D46E1"/>
    <w:rsid w:val="484F02DB"/>
    <w:rsid w:val="4ABA7523"/>
    <w:rsid w:val="4D0F702B"/>
    <w:rsid w:val="4F1374CD"/>
    <w:rsid w:val="4F5F7FA0"/>
    <w:rsid w:val="4FB82AE1"/>
    <w:rsid w:val="50176585"/>
    <w:rsid w:val="511264C9"/>
    <w:rsid w:val="52035306"/>
    <w:rsid w:val="52F41619"/>
    <w:rsid w:val="544435BE"/>
    <w:rsid w:val="556B56F9"/>
    <w:rsid w:val="55F91EE6"/>
    <w:rsid w:val="560C755C"/>
    <w:rsid w:val="5D416569"/>
    <w:rsid w:val="61EC2AA6"/>
    <w:rsid w:val="699E46AC"/>
    <w:rsid w:val="6A887E99"/>
    <w:rsid w:val="6AF871DC"/>
    <w:rsid w:val="6B2C321A"/>
    <w:rsid w:val="6B737AB1"/>
    <w:rsid w:val="6BFA2E6B"/>
    <w:rsid w:val="6CAC23B4"/>
    <w:rsid w:val="6E743137"/>
    <w:rsid w:val="6F2F3A78"/>
    <w:rsid w:val="6FB273A5"/>
    <w:rsid w:val="70D04944"/>
    <w:rsid w:val="749826BF"/>
    <w:rsid w:val="77880E7F"/>
    <w:rsid w:val="77D26D2E"/>
    <w:rsid w:val="7814385B"/>
    <w:rsid w:val="7A804D74"/>
    <w:rsid w:val="7B787053"/>
    <w:rsid w:val="7B897B3A"/>
    <w:rsid w:val="7CC91675"/>
    <w:rsid w:val="7D055DF3"/>
    <w:rsid w:val="7D57062A"/>
    <w:rsid w:val="7E02475A"/>
    <w:rsid w:val="7F657C42"/>
    <w:rsid w:val="7F79428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jc w:val="center"/>
    </w:pPr>
    <w:rPr>
      <w:sz w:val="18"/>
      <w:szCs w:val="18"/>
    </w:rPr>
  </w:style>
  <w:style w:type="paragraph" w:styleId="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hint="eastAsia" w:ascii="宋体" w:hAnsi="宋体" w:eastAsia="宋体" w:cs="Times New Roman"/>
      <w:sz w:val="24"/>
      <w:szCs w:val="24"/>
    </w:rPr>
  </w:style>
  <w:style w:type="character" w:styleId="7">
    <w:name w:val="page number"/>
    <w:basedOn w:val="6"/>
    <w:qFormat/>
    <w:uiPriority w:val="0"/>
  </w:style>
  <w:style w:type="character" w:customStyle="1" w:styleId="8">
    <w:name w:val="页眉 Char"/>
    <w:basedOn w:val="6"/>
    <w:link w:val="3"/>
    <w:semiHidden/>
    <w:qFormat/>
    <w:uiPriority w:val="99"/>
    <w:rPr>
      <w:rFonts w:ascii="Tahoma" w:hAnsi="Tahoma"/>
      <w:sz w:val="18"/>
      <w:szCs w:val="18"/>
    </w:rPr>
  </w:style>
  <w:style w:type="character" w:customStyle="1" w:styleId="9">
    <w:name w:val="页脚 Char"/>
    <w:basedOn w:val="6"/>
    <w:link w:val="2"/>
    <w:semiHidden/>
    <w:qFormat/>
    <w:uiPriority w:val="99"/>
    <w:rPr>
      <w:rFonts w:ascii="Tahoma" w:hAnsi="Tahoma"/>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8"/>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1602BF7-384A-4795-B1F6-802B996E6FA7}">
  <ds:schemaRefs/>
</ds:datastoreItem>
</file>

<file path=docProps/app.xml><?xml version="1.0" encoding="utf-8"?>
<Properties xmlns="http://schemas.openxmlformats.org/officeDocument/2006/extended-properties" xmlns:vt="http://schemas.openxmlformats.org/officeDocument/2006/docPropsVTypes">
  <Template>Normal</Template>
  <Pages>13</Pages>
  <Words>754</Words>
  <Characters>4299</Characters>
  <Lines>35</Lines>
  <Paragraphs>10</Paragraphs>
  <TotalTime>1986</TotalTime>
  <ScaleCrop>false</ScaleCrop>
  <LinksUpToDate>false</LinksUpToDate>
  <CharactersWithSpaces>5043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总预算</dc:creator>
  <cp:lastModifiedBy>Administrator</cp:lastModifiedBy>
  <cp:lastPrinted>2019-03-11T03:31:00Z</cp:lastPrinted>
  <dcterms:modified xsi:type="dcterms:W3CDTF">2023-03-07T03:55:12Z</dcterms:modified>
  <cp:revision>247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6B97A3F5E4434C45996FA30F7C29B0A4</vt:lpwstr>
  </property>
</Properties>
</file>