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下察隅中心小学</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0</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下察隅中心小学</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下察隅中心小学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0</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下察隅中心小学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0</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九、国有资本经营预算财政拨款支出决算情况说明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0</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8张表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下察隅中心小学</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ind w:firstLine="640" w:firstLineChars="200"/>
        <w:rPr>
          <w:rFonts w:ascii="仿宋_GB2312" w:hAnsi="黑体" w:eastAsia="仿宋_GB2312"/>
          <w:sz w:val="32"/>
          <w:szCs w:val="32"/>
        </w:rPr>
      </w:pPr>
      <w:r>
        <w:rPr>
          <w:rFonts w:hint="eastAsia" w:ascii="仿宋_GB2312" w:hAnsi="仿宋_GB2312" w:eastAsia="仿宋_GB2312"/>
          <w:sz w:val="32"/>
          <w:szCs w:val="32"/>
        </w:rPr>
        <w:t>察隅县下察隅镇中心小学设有</w:t>
      </w:r>
      <w:r>
        <w:rPr>
          <w:rFonts w:hint="eastAsia" w:ascii="仿宋_GB2312" w:hAnsi="仿宋_GB2312" w:eastAsia="仿宋_GB2312" w:cs="仿宋_GB2312"/>
          <w:color w:val="000000"/>
          <w:sz w:val="32"/>
          <w:szCs w:val="32"/>
        </w:rPr>
        <w:t>教务处、德育室、少先队辅导员、教研室、校长办公室、工会。</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下察隅中心小学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下察隅中心小学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ind w:firstLine="640" w:firstLineChars="200"/>
        <w:jc w:val="left"/>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 xml:space="preserve">收支决算总规模为1544.22 </w:t>
      </w:r>
      <w:r>
        <w:rPr>
          <w:rFonts w:hint="eastAsia" w:ascii="仿宋_GB2312" w:eastAsia="仿宋_GB2312"/>
          <w:sz w:val="32"/>
          <w:szCs w:val="32"/>
          <w:highlight w:val="none"/>
          <w:lang w:val="en-US" w:eastAsia="zh-CN"/>
        </w:rPr>
        <w:t>万元，比上年减少6.66%。</w:t>
      </w: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 xml:space="preserve">为1962.51 </w:t>
      </w:r>
      <w:r>
        <w:rPr>
          <w:rFonts w:hint="eastAsia" w:ascii="仿宋_GB2312" w:eastAsia="仿宋_GB2312"/>
          <w:sz w:val="32"/>
          <w:szCs w:val="32"/>
          <w:highlight w:val="none"/>
          <w:lang w:val="en-US" w:eastAsia="zh-CN"/>
        </w:rPr>
        <w:t>万元，比上年增加68.5%。</w:t>
      </w:r>
      <w:r>
        <w:rPr>
          <w:rFonts w:hint="eastAsia" w:ascii="仿宋_GB2312" w:eastAsia="仿宋_GB2312"/>
          <w:sz w:val="32"/>
          <w:szCs w:val="32"/>
          <w:lang w:val="en-US" w:eastAsia="zh-CN"/>
        </w:rPr>
        <w:t>主要原因:工作开展的需要拨入的资金增加，按预计的支付进度支出增加。</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textAlignment w:val="auto"/>
        <w:rPr>
          <w:rFonts w:hint="default" w:ascii="仿宋_GB2312" w:eastAsia="仿宋_GB2312"/>
          <w:sz w:val="32"/>
          <w:szCs w:val="32"/>
          <w:lang w:val="en-US"/>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 xml:space="preserve">收支决算总规模为1544.22 </w:t>
      </w:r>
      <w:r>
        <w:rPr>
          <w:rFonts w:hint="eastAsia" w:ascii="仿宋_GB2312" w:eastAsia="仿宋_GB2312"/>
          <w:sz w:val="32"/>
          <w:szCs w:val="32"/>
          <w:highlight w:val="none"/>
          <w:lang w:val="en-US" w:eastAsia="zh-CN"/>
        </w:rPr>
        <w:t>万元，全部为财政拨款收入，占总收入100.00%。总收入比上年增加-110.27万元，同比增长-6.66%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2020年项目经费减少。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 xml:space="preserve">为1962.51 </w:t>
      </w:r>
      <w:r>
        <w:rPr>
          <w:rFonts w:hint="eastAsia" w:ascii="仿宋_GB2312" w:eastAsia="仿宋_GB2312"/>
          <w:sz w:val="32"/>
          <w:szCs w:val="32"/>
          <w:highlight w:val="none"/>
          <w:lang w:val="en-US" w:eastAsia="zh-CN"/>
        </w:rPr>
        <w:t>万元，主要包括基本支出1030.75 万元，占总支出53%；项目支出931.75 万元，占总支出47%。总支出比上年增加797.78万元，同比增长68.5%</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2020年在拨2019年结转项目款。</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0</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lang w:eastAsia="zh-CN"/>
        </w:rPr>
        <w:t xml:space="preserve">1544.22 </w:t>
      </w:r>
      <w:r>
        <w:rPr>
          <w:rFonts w:hint="eastAsia" w:ascii="仿宋_GB2312" w:eastAsia="仿宋_GB2312"/>
          <w:sz w:val="32"/>
          <w:szCs w:val="32"/>
          <w:highlight w:val="none"/>
          <w:u w:val="none"/>
          <w:lang w:eastAsia="zh-CN"/>
        </w:rPr>
        <w:t xml:space="preserve"> </w:t>
      </w:r>
      <w:r>
        <w:rPr>
          <w:rFonts w:hint="eastAsia" w:ascii="仿宋_GB2312" w:eastAsia="仿宋_GB2312"/>
          <w:sz w:val="32"/>
          <w:szCs w:val="32"/>
          <w:u w:val="none"/>
          <w:lang w:val="en-US" w:eastAsia="zh-CN"/>
        </w:rPr>
        <w:t>万元</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总收入比上年增加-110.27万元，同比增长-6.66%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2020年项目经费减少。</w:t>
      </w: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202</w:t>
      </w:r>
      <w:r>
        <w:rPr>
          <w:rFonts w:hint="eastAsia" w:ascii="仿宋_GB2312" w:eastAsia="仿宋_GB2312"/>
          <w:sz w:val="32"/>
          <w:szCs w:val="32"/>
          <w:u w:val="none"/>
          <w:lang w:val="en-US" w:eastAsia="zh-CN"/>
        </w:rPr>
        <w:t>0</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lang w:eastAsia="zh-CN"/>
        </w:rPr>
        <w:t>1962.51</w:t>
      </w:r>
      <w:r>
        <w:rPr>
          <w:rFonts w:hint="eastAsia" w:ascii="仿宋_GB2312" w:eastAsia="仿宋_GB2312"/>
          <w:sz w:val="32"/>
          <w:szCs w:val="32"/>
          <w:highlight w:val="none"/>
          <w:u w:val="none"/>
          <w:lang w:eastAsia="zh-CN"/>
        </w:rPr>
        <w:t xml:space="preserve"> </w:t>
      </w:r>
      <w:r>
        <w:rPr>
          <w:rFonts w:hint="eastAsia" w:ascii="仿宋_GB2312" w:eastAsia="仿宋_GB2312"/>
          <w:sz w:val="32"/>
          <w:szCs w:val="32"/>
          <w:u w:val="none"/>
          <w:lang w:val="en-US" w:eastAsia="zh-CN"/>
        </w:rPr>
        <w:t>万元</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总支出比上年增加797.78万元，同比增长68.5%</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2020年在拨2019年结转项目款。</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202</w:t>
      </w:r>
      <w:r>
        <w:rPr>
          <w:rFonts w:hint="eastAsia" w:ascii="仿宋_GB2312" w:eastAsia="仿宋_GB2312"/>
          <w:sz w:val="32"/>
          <w:szCs w:val="32"/>
          <w:u w:val="none"/>
          <w:lang w:val="en-US" w:eastAsia="zh-CN"/>
        </w:rPr>
        <w:t>0</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lang w:eastAsia="zh-CN"/>
        </w:rPr>
        <w:t>1962.51</w:t>
      </w:r>
      <w:r>
        <w:rPr>
          <w:rFonts w:hint="eastAsia" w:ascii="仿宋_GB2312" w:eastAsia="仿宋_GB2312"/>
          <w:sz w:val="32"/>
          <w:szCs w:val="32"/>
          <w:highlight w:val="none"/>
          <w:u w:val="none"/>
          <w:lang w:eastAsia="zh-CN"/>
        </w:rPr>
        <w:t xml:space="preserve"> </w:t>
      </w:r>
      <w:r>
        <w:rPr>
          <w:rFonts w:hint="eastAsia" w:ascii="仿宋_GB2312" w:eastAsia="仿宋_GB2312"/>
          <w:sz w:val="32"/>
          <w:szCs w:val="32"/>
          <w:u w:val="none"/>
          <w:lang w:val="en-US" w:eastAsia="zh-CN"/>
        </w:rPr>
        <w:t>万元</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总支出比上年增加797.78万元，同比增长68.5%</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2020年在拨2019年结转项目款。</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1030.75万</w:t>
      </w:r>
      <w:r>
        <w:rPr>
          <w:rFonts w:hint="eastAsia" w:ascii="仿宋_GB2312" w:eastAsia="仿宋_GB2312"/>
          <w:sz w:val="32"/>
          <w:szCs w:val="32"/>
        </w:rPr>
        <w:t>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295.89万元，同比增加40.26%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主要原因是年中增加工资福利支出增资部分预算支出。</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 xml:space="preserve">合计975.69 </w:t>
      </w:r>
      <w:r>
        <w:rPr>
          <w:rFonts w:hint="eastAsia" w:ascii="仿宋_GB2312" w:eastAsia="仿宋_GB2312"/>
          <w:sz w:val="32"/>
          <w:szCs w:val="32"/>
          <w:lang w:val="en-US" w:eastAsia="zh-CN"/>
        </w:rPr>
        <w:t>万元</w:t>
      </w:r>
      <w:r>
        <w:rPr>
          <w:rFonts w:hint="eastAsia" w:ascii="仿宋_GB2312" w:eastAsia="仿宋_GB2312"/>
          <w:sz w:val="32"/>
          <w:szCs w:val="32"/>
        </w:rPr>
        <w:t>，占总支出的</w:t>
      </w:r>
      <w:r>
        <w:rPr>
          <w:rFonts w:hint="eastAsia" w:ascii="仿宋_GB2312" w:eastAsia="仿宋_GB2312"/>
          <w:sz w:val="32"/>
          <w:szCs w:val="32"/>
          <w:lang w:val="en-US" w:eastAsia="zh-CN"/>
        </w:rPr>
        <w:t>95</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55.07万</w:t>
      </w:r>
      <w:r>
        <w:rPr>
          <w:rFonts w:hint="eastAsia" w:ascii="仿宋_GB2312" w:eastAsia="仿宋_GB2312"/>
          <w:sz w:val="32"/>
          <w:szCs w:val="32"/>
        </w:rPr>
        <w:t>元，占总支出</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2020年度一般公共预算财政拨款“三公”经费总支出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。2020年度支出0万元，其中：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2.公务用车运行费。2020年度支出0万元，比</w:t>
      </w:r>
      <w:r>
        <w:rPr>
          <w:rFonts w:hint="eastAsia" w:ascii="仿宋_GB2312" w:hAnsi="仿宋_GB2312" w:eastAsia="仿宋_GB2312" w:cs="仿宋_GB2312"/>
          <w:sz w:val="32"/>
          <w:szCs w:val="32"/>
          <w:highlight w:val="none"/>
          <w:lang w:val="en-US" w:eastAsia="zh-CN"/>
        </w:rPr>
        <w:t>上年增长0万元，同比增长0%，比预算数增加0万元，增长0%。与上年同期相比，无增减变化。</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2020年度支出0万元，公务接待0批次，0人次，比年初预算数减少0万元，降低0%。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2020年度政府性基金预算财政拨款收入0万元，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2020年度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0</w:t>
      </w:r>
      <w:bookmarkStart w:id="0" w:name="_GoBack"/>
      <w:bookmarkEnd w:id="0"/>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16.46万元，比上年减少38.60万元，同比降低70.11%</w:t>
      </w:r>
      <w:r>
        <w:rPr>
          <w:rFonts w:hint="eastAsia" w:ascii="仿宋_GB2312" w:eastAsia="仿宋_GB2312"/>
          <w:sz w:val="32"/>
          <w:szCs w:val="32"/>
        </w:rPr>
        <w:t>。</w:t>
      </w:r>
      <w:r>
        <w:rPr>
          <w:rFonts w:hint="eastAsia" w:ascii="仿宋_GB2312" w:eastAsia="仿宋_GB2312"/>
          <w:sz w:val="32"/>
          <w:szCs w:val="32"/>
          <w:lang w:eastAsia="zh-CN"/>
        </w:rPr>
        <w:t>主要原因为</w:t>
      </w:r>
      <w:r>
        <w:rPr>
          <w:rFonts w:hint="eastAsia" w:ascii="仿宋_GB2312" w:eastAsia="仿宋_GB2312"/>
          <w:sz w:val="32"/>
          <w:szCs w:val="32"/>
          <w:lang w:val="en-US" w:eastAsia="zh-CN"/>
        </w:rPr>
        <w:t>2021年维修（维护费）和办公费用大幅度减少</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根据预算绩效管理要求，察隅县下察隅中心小学</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r>
        <w:rPr>
          <w:rFonts w:hint="eastAsia" w:ascii="仿宋_GB2312" w:hAnsi="仿宋_GB2312" w:eastAsia="仿宋_GB2312" w:cs="仿宋_GB2312"/>
          <w:sz w:val="32"/>
          <w:szCs w:val="32"/>
          <w:highlight w:val="none"/>
          <w:lang w:val="en-US" w:eastAsia="zh-CN"/>
        </w:rPr>
        <w:t>（详见附件2）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下察隅中心小学</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8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TIwNDZjZjEwNWFhYjBkMWJiZDZlMzY2ZDgzOWUifQ=="/>
  </w:docVars>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5298"/>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2B5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215C32"/>
    <w:rsid w:val="01411BDE"/>
    <w:rsid w:val="014F743E"/>
    <w:rsid w:val="0160739F"/>
    <w:rsid w:val="0169219B"/>
    <w:rsid w:val="01AA5AC3"/>
    <w:rsid w:val="01C85711"/>
    <w:rsid w:val="01FA65AD"/>
    <w:rsid w:val="0222460E"/>
    <w:rsid w:val="022573A2"/>
    <w:rsid w:val="02406968"/>
    <w:rsid w:val="0265089F"/>
    <w:rsid w:val="026B6AE4"/>
    <w:rsid w:val="027C5AE7"/>
    <w:rsid w:val="02D72CED"/>
    <w:rsid w:val="034B2126"/>
    <w:rsid w:val="037E5F1D"/>
    <w:rsid w:val="03DA0031"/>
    <w:rsid w:val="03EC44F3"/>
    <w:rsid w:val="03FD70A9"/>
    <w:rsid w:val="043B2C3A"/>
    <w:rsid w:val="046076F0"/>
    <w:rsid w:val="04815BD5"/>
    <w:rsid w:val="04DB515F"/>
    <w:rsid w:val="04ED138F"/>
    <w:rsid w:val="05097677"/>
    <w:rsid w:val="05442B77"/>
    <w:rsid w:val="05630EB9"/>
    <w:rsid w:val="05710E75"/>
    <w:rsid w:val="05DE61E6"/>
    <w:rsid w:val="060825F0"/>
    <w:rsid w:val="063E3381"/>
    <w:rsid w:val="0643722A"/>
    <w:rsid w:val="065B2B2E"/>
    <w:rsid w:val="065E21CA"/>
    <w:rsid w:val="06AD3797"/>
    <w:rsid w:val="06E8512E"/>
    <w:rsid w:val="06E97EA9"/>
    <w:rsid w:val="071E1426"/>
    <w:rsid w:val="07594DF7"/>
    <w:rsid w:val="077477A9"/>
    <w:rsid w:val="077949DE"/>
    <w:rsid w:val="07B34C51"/>
    <w:rsid w:val="080201B4"/>
    <w:rsid w:val="08207909"/>
    <w:rsid w:val="088439AF"/>
    <w:rsid w:val="08AA79C2"/>
    <w:rsid w:val="08D031DD"/>
    <w:rsid w:val="08E30F54"/>
    <w:rsid w:val="0915429C"/>
    <w:rsid w:val="09213420"/>
    <w:rsid w:val="09383344"/>
    <w:rsid w:val="098E615B"/>
    <w:rsid w:val="099B7DB7"/>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28491C"/>
    <w:rsid w:val="0D7C2323"/>
    <w:rsid w:val="0D8F357F"/>
    <w:rsid w:val="0DDC3C40"/>
    <w:rsid w:val="0DE407D7"/>
    <w:rsid w:val="0E0D73AC"/>
    <w:rsid w:val="0E202DD1"/>
    <w:rsid w:val="0E341CF7"/>
    <w:rsid w:val="0E511891"/>
    <w:rsid w:val="0E5A45C9"/>
    <w:rsid w:val="0E8D4346"/>
    <w:rsid w:val="0E9B4A5F"/>
    <w:rsid w:val="0EA0761E"/>
    <w:rsid w:val="0EA63A7E"/>
    <w:rsid w:val="0EC776CF"/>
    <w:rsid w:val="0F113E0F"/>
    <w:rsid w:val="0F260AEC"/>
    <w:rsid w:val="0F313772"/>
    <w:rsid w:val="0F443A6F"/>
    <w:rsid w:val="0F775EC7"/>
    <w:rsid w:val="0FC65547"/>
    <w:rsid w:val="0FCC34FC"/>
    <w:rsid w:val="0FED4320"/>
    <w:rsid w:val="102E66FD"/>
    <w:rsid w:val="106B4098"/>
    <w:rsid w:val="10E16DBA"/>
    <w:rsid w:val="10FE7208"/>
    <w:rsid w:val="111D5572"/>
    <w:rsid w:val="11285787"/>
    <w:rsid w:val="115616DD"/>
    <w:rsid w:val="11897E1C"/>
    <w:rsid w:val="11D71DB8"/>
    <w:rsid w:val="120E3A6C"/>
    <w:rsid w:val="1257313B"/>
    <w:rsid w:val="12601F0B"/>
    <w:rsid w:val="127B7321"/>
    <w:rsid w:val="132E7FA6"/>
    <w:rsid w:val="133B537F"/>
    <w:rsid w:val="13563CC7"/>
    <w:rsid w:val="13701CFC"/>
    <w:rsid w:val="13843419"/>
    <w:rsid w:val="13A02AE6"/>
    <w:rsid w:val="13CA2A5D"/>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90233"/>
    <w:rsid w:val="188C0ABD"/>
    <w:rsid w:val="18EB15EF"/>
    <w:rsid w:val="19234752"/>
    <w:rsid w:val="192B0B9A"/>
    <w:rsid w:val="192E320B"/>
    <w:rsid w:val="197856BC"/>
    <w:rsid w:val="19825CAA"/>
    <w:rsid w:val="19AA096B"/>
    <w:rsid w:val="19BE1A2C"/>
    <w:rsid w:val="19DC3CF4"/>
    <w:rsid w:val="1A6105B6"/>
    <w:rsid w:val="1A707545"/>
    <w:rsid w:val="1A7B0FF9"/>
    <w:rsid w:val="1A8D6C23"/>
    <w:rsid w:val="1ACE64AB"/>
    <w:rsid w:val="1AEC2C50"/>
    <w:rsid w:val="1B057A41"/>
    <w:rsid w:val="1B2F0D15"/>
    <w:rsid w:val="1B367D8E"/>
    <w:rsid w:val="1B7109B6"/>
    <w:rsid w:val="1BC46FB9"/>
    <w:rsid w:val="1C0D3A85"/>
    <w:rsid w:val="1C93612C"/>
    <w:rsid w:val="1CAE2196"/>
    <w:rsid w:val="1D236B86"/>
    <w:rsid w:val="1D323688"/>
    <w:rsid w:val="1D594083"/>
    <w:rsid w:val="1D684318"/>
    <w:rsid w:val="1DCE5AB6"/>
    <w:rsid w:val="1DEB67E3"/>
    <w:rsid w:val="1DF65BA3"/>
    <w:rsid w:val="1E7F22C8"/>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7A0A"/>
    <w:rsid w:val="238423F6"/>
    <w:rsid w:val="238A6703"/>
    <w:rsid w:val="23AD4F2E"/>
    <w:rsid w:val="23B56380"/>
    <w:rsid w:val="23E0752E"/>
    <w:rsid w:val="240235FB"/>
    <w:rsid w:val="241033B9"/>
    <w:rsid w:val="24216FD4"/>
    <w:rsid w:val="24262A62"/>
    <w:rsid w:val="24633129"/>
    <w:rsid w:val="247C476A"/>
    <w:rsid w:val="24925309"/>
    <w:rsid w:val="24C70A7D"/>
    <w:rsid w:val="24C81648"/>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9E74C5"/>
    <w:rsid w:val="28CA0FE2"/>
    <w:rsid w:val="28D36E04"/>
    <w:rsid w:val="291558A3"/>
    <w:rsid w:val="293518AE"/>
    <w:rsid w:val="29487BC6"/>
    <w:rsid w:val="29551ED8"/>
    <w:rsid w:val="29831A2D"/>
    <w:rsid w:val="298C2759"/>
    <w:rsid w:val="29A7505E"/>
    <w:rsid w:val="29FA6023"/>
    <w:rsid w:val="2A337514"/>
    <w:rsid w:val="2A753821"/>
    <w:rsid w:val="2A9F5C2C"/>
    <w:rsid w:val="2AED2707"/>
    <w:rsid w:val="2B19135A"/>
    <w:rsid w:val="2B220DAD"/>
    <w:rsid w:val="2B4F3BB5"/>
    <w:rsid w:val="2B5D54E7"/>
    <w:rsid w:val="2B5E29B1"/>
    <w:rsid w:val="2C2529BD"/>
    <w:rsid w:val="2C82694E"/>
    <w:rsid w:val="2CB25E7F"/>
    <w:rsid w:val="2CE46ACD"/>
    <w:rsid w:val="2D01320C"/>
    <w:rsid w:val="2D21246F"/>
    <w:rsid w:val="2D3A646F"/>
    <w:rsid w:val="2D5B7474"/>
    <w:rsid w:val="2D6F1CC2"/>
    <w:rsid w:val="2D7B6A45"/>
    <w:rsid w:val="2DA83E89"/>
    <w:rsid w:val="2DF41F4C"/>
    <w:rsid w:val="2E1039F9"/>
    <w:rsid w:val="2E177979"/>
    <w:rsid w:val="2E331C8F"/>
    <w:rsid w:val="2E3C12F8"/>
    <w:rsid w:val="2E4A7695"/>
    <w:rsid w:val="2E61515A"/>
    <w:rsid w:val="2E6F28BA"/>
    <w:rsid w:val="2E7D68FA"/>
    <w:rsid w:val="2EA617B0"/>
    <w:rsid w:val="2EE26B9D"/>
    <w:rsid w:val="2EEF239B"/>
    <w:rsid w:val="2F0D0E51"/>
    <w:rsid w:val="2F131B64"/>
    <w:rsid w:val="2F1A79B2"/>
    <w:rsid w:val="2F7F1444"/>
    <w:rsid w:val="2F9031C9"/>
    <w:rsid w:val="2FCC70D8"/>
    <w:rsid w:val="2FDF60C1"/>
    <w:rsid w:val="307F76B3"/>
    <w:rsid w:val="308C3701"/>
    <w:rsid w:val="30B85EDF"/>
    <w:rsid w:val="30E273D5"/>
    <w:rsid w:val="311F1E9F"/>
    <w:rsid w:val="316C5DAB"/>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6A4C58"/>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BEE1844"/>
    <w:rsid w:val="3C272250"/>
    <w:rsid w:val="3C5E58C4"/>
    <w:rsid w:val="3C720321"/>
    <w:rsid w:val="3C7A2CE2"/>
    <w:rsid w:val="3C7E7DD7"/>
    <w:rsid w:val="3CB4373A"/>
    <w:rsid w:val="3CEB7B3A"/>
    <w:rsid w:val="3CF303F6"/>
    <w:rsid w:val="3D2C717E"/>
    <w:rsid w:val="3D46666E"/>
    <w:rsid w:val="3DC24A10"/>
    <w:rsid w:val="3E04466D"/>
    <w:rsid w:val="3E0502C1"/>
    <w:rsid w:val="3E3D5C2B"/>
    <w:rsid w:val="3EBA4C2E"/>
    <w:rsid w:val="3F131871"/>
    <w:rsid w:val="3F61072F"/>
    <w:rsid w:val="3F695B2B"/>
    <w:rsid w:val="3F721C24"/>
    <w:rsid w:val="3F796BD4"/>
    <w:rsid w:val="3F8A0ED3"/>
    <w:rsid w:val="3FA6594E"/>
    <w:rsid w:val="3FCE5511"/>
    <w:rsid w:val="3FE14580"/>
    <w:rsid w:val="400E1E38"/>
    <w:rsid w:val="402463CB"/>
    <w:rsid w:val="403039CA"/>
    <w:rsid w:val="40524664"/>
    <w:rsid w:val="407E448D"/>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513C51"/>
    <w:rsid w:val="43960FD8"/>
    <w:rsid w:val="43D50FEC"/>
    <w:rsid w:val="43D910F0"/>
    <w:rsid w:val="43F62BC1"/>
    <w:rsid w:val="449C66AF"/>
    <w:rsid w:val="44C752FF"/>
    <w:rsid w:val="44C96627"/>
    <w:rsid w:val="44CB088F"/>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42727"/>
    <w:rsid w:val="477D0A2F"/>
    <w:rsid w:val="47A82FFD"/>
    <w:rsid w:val="47B701F5"/>
    <w:rsid w:val="47EB56E1"/>
    <w:rsid w:val="47F525E7"/>
    <w:rsid w:val="4849005D"/>
    <w:rsid w:val="48545ACA"/>
    <w:rsid w:val="48654977"/>
    <w:rsid w:val="4887796F"/>
    <w:rsid w:val="488C6E75"/>
    <w:rsid w:val="48C321F4"/>
    <w:rsid w:val="48D151DA"/>
    <w:rsid w:val="48DE5B50"/>
    <w:rsid w:val="48FF0DFE"/>
    <w:rsid w:val="49AD72D9"/>
    <w:rsid w:val="49BF2265"/>
    <w:rsid w:val="49CA4591"/>
    <w:rsid w:val="4A7D48B5"/>
    <w:rsid w:val="4AD64E4A"/>
    <w:rsid w:val="4AE2074A"/>
    <w:rsid w:val="4AE35FAB"/>
    <w:rsid w:val="4B044DB0"/>
    <w:rsid w:val="4BE764C4"/>
    <w:rsid w:val="4BF70572"/>
    <w:rsid w:val="4C2131E6"/>
    <w:rsid w:val="4C2E7F1D"/>
    <w:rsid w:val="4C7B3A6C"/>
    <w:rsid w:val="4C8009A3"/>
    <w:rsid w:val="4CA5688D"/>
    <w:rsid w:val="4D0647E6"/>
    <w:rsid w:val="4D3D6ABF"/>
    <w:rsid w:val="4D5B71EC"/>
    <w:rsid w:val="4D895B83"/>
    <w:rsid w:val="4DC14920"/>
    <w:rsid w:val="4E111275"/>
    <w:rsid w:val="4E2D74E1"/>
    <w:rsid w:val="4E421407"/>
    <w:rsid w:val="4E824F9D"/>
    <w:rsid w:val="4EDD08E9"/>
    <w:rsid w:val="4EFC718B"/>
    <w:rsid w:val="4F0768BB"/>
    <w:rsid w:val="4F114B96"/>
    <w:rsid w:val="4F2308EF"/>
    <w:rsid w:val="4F294268"/>
    <w:rsid w:val="4F480852"/>
    <w:rsid w:val="5034385D"/>
    <w:rsid w:val="50400C68"/>
    <w:rsid w:val="5075485B"/>
    <w:rsid w:val="508839C8"/>
    <w:rsid w:val="5094770F"/>
    <w:rsid w:val="50E13B71"/>
    <w:rsid w:val="51010F22"/>
    <w:rsid w:val="51104F77"/>
    <w:rsid w:val="519B3F7B"/>
    <w:rsid w:val="51A96058"/>
    <w:rsid w:val="51B313CC"/>
    <w:rsid w:val="51BB3C0C"/>
    <w:rsid w:val="51E66290"/>
    <w:rsid w:val="520A40DC"/>
    <w:rsid w:val="525F6A68"/>
    <w:rsid w:val="52647CD1"/>
    <w:rsid w:val="526F3518"/>
    <w:rsid w:val="529949C2"/>
    <w:rsid w:val="532A692B"/>
    <w:rsid w:val="533A041D"/>
    <w:rsid w:val="53EB4B20"/>
    <w:rsid w:val="53F1227E"/>
    <w:rsid w:val="5423436B"/>
    <w:rsid w:val="54300A57"/>
    <w:rsid w:val="54F31C70"/>
    <w:rsid w:val="55427F71"/>
    <w:rsid w:val="557F73BB"/>
    <w:rsid w:val="55831B3D"/>
    <w:rsid w:val="55BB1A3A"/>
    <w:rsid w:val="55C256B9"/>
    <w:rsid w:val="55EC0C5F"/>
    <w:rsid w:val="55FD46C1"/>
    <w:rsid w:val="565F67C7"/>
    <w:rsid w:val="56A74288"/>
    <w:rsid w:val="56E055F3"/>
    <w:rsid w:val="5711697C"/>
    <w:rsid w:val="572F41A0"/>
    <w:rsid w:val="578A6802"/>
    <w:rsid w:val="57B15E3E"/>
    <w:rsid w:val="57E13B26"/>
    <w:rsid w:val="582F3C6B"/>
    <w:rsid w:val="583C7C54"/>
    <w:rsid w:val="58405AF6"/>
    <w:rsid w:val="58454E73"/>
    <w:rsid w:val="58670BFF"/>
    <w:rsid w:val="588474F5"/>
    <w:rsid w:val="58F41895"/>
    <w:rsid w:val="58F41CFE"/>
    <w:rsid w:val="59411502"/>
    <w:rsid w:val="594F0101"/>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4625E7"/>
    <w:rsid w:val="5B516896"/>
    <w:rsid w:val="5B83771D"/>
    <w:rsid w:val="5B8F1631"/>
    <w:rsid w:val="5BD20AD2"/>
    <w:rsid w:val="5C873088"/>
    <w:rsid w:val="5D9233EA"/>
    <w:rsid w:val="5DBF0E47"/>
    <w:rsid w:val="5DC45DBE"/>
    <w:rsid w:val="5DC5615F"/>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AA08CE"/>
    <w:rsid w:val="60BB6BBF"/>
    <w:rsid w:val="60E95975"/>
    <w:rsid w:val="61403A29"/>
    <w:rsid w:val="61C50904"/>
    <w:rsid w:val="623E0A93"/>
    <w:rsid w:val="6240174B"/>
    <w:rsid w:val="62490A5A"/>
    <w:rsid w:val="626605A8"/>
    <w:rsid w:val="629457A8"/>
    <w:rsid w:val="62990D92"/>
    <w:rsid w:val="62A43AF9"/>
    <w:rsid w:val="62CE4327"/>
    <w:rsid w:val="62E008BA"/>
    <w:rsid w:val="63354556"/>
    <w:rsid w:val="63710425"/>
    <w:rsid w:val="637512DF"/>
    <w:rsid w:val="637E23A2"/>
    <w:rsid w:val="638920E0"/>
    <w:rsid w:val="63A177C9"/>
    <w:rsid w:val="63C4679E"/>
    <w:rsid w:val="63EE36AC"/>
    <w:rsid w:val="642379C5"/>
    <w:rsid w:val="642E15AE"/>
    <w:rsid w:val="64531F05"/>
    <w:rsid w:val="64A90E0A"/>
    <w:rsid w:val="64AB551C"/>
    <w:rsid w:val="64D34B2D"/>
    <w:rsid w:val="651376B7"/>
    <w:rsid w:val="653905A2"/>
    <w:rsid w:val="65392A07"/>
    <w:rsid w:val="656649C4"/>
    <w:rsid w:val="65D67393"/>
    <w:rsid w:val="65D93B1D"/>
    <w:rsid w:val="65DA4C1B"/>
    <w:rsid w:val="663650FC"/>
    <w:rsid w:val="663C25E1"/>
    <w:rsid w:val="666F013A"/>
    <w:rsid w:val="66BC0E05"/>
    <w:rsid w:val="66ED0068"/>
    <w:rsid w:val="671717A6"/>
    <w:rsid w:val="67230D95"/>
    <w:rsid w:val="672A3BCD"/>
    <w:rsid w:val="68066CE7"/>
    <w:rsid w:val="68216299"/>
    <w:rsid w:val="686660AE"/>
    <w:rsid w:val="688F2809"/>
    <w:rsid w:val="68AE41F3"/>
    <w:rsid w:val="68F266DC"/>
    <w:rsid w:val="692861FC"/>
    <w:rsid w:val="693037E7"/>
    <w:rsid w:val="693C0E3F"/>
    <w:rsid w:val="695A5B5C"/>
    <w:rsid w:val="696870C5"/>
    <w:rsid w:val="697F74A7"/>
    <w:rsid w:val="698C0ED7"/>
    <w:rsid w:val="699B2B73"/>
    <w:rsid w:val="69A770EA"/>
    <w:rsid w:val="69FA383C"/>
    <w:rsid w:val="6A021E17"/>
    <w:rsid w:val="6A4F71C1"/>
    <w:rsid w:val="6A563F89"/>
    <w:rsid w:val="6A6C2EB7"/>
    <w:rsid w:val="6AA80864"/>
    <w:rsid w:val="6AA90889"/>
    <w:rsid w:val="6AB9328C"/>
    <w:rsid w:val="6AED15E9"/>
    <w:rsid w:val="6AF0115C"/>
    <w:rsid w:val="6B12402C"/>
    <w:rsid w:val="6B156E29"/>
    <w:rsid w:val="6B3B6FA0"/>
    <w:rsid w:val="6B5E436A"/>
    <w:rsid w:val="6B7D189E"/>
    <w:rsid w:val="6BB74F29"/>
    <w:rsid w:val="6BBD5648"/>
    <w:rsid w:val="6C2B6830"/>
    <w:rsid w:val="6C7E416E"/>
    <w:rsid w:val="6C912E54"/>
    <w:rsid w:val="6CAB2DE1"/>
    <w:rsid w:val="6D0A3E25"/>
    <w:rsid w:val="6D0E73EA"/>
    <w:rsid w:val="6D3B5643"/>
    <w:rsid w:val="6D6546FD"/>
    <w:rsid w:val="6D953261"/>
    <w:rsid w:val="6DA84EE1"/>
    <w:rsid w:val="6E1B5725"/>
    <w:rsid w:val="6E7B1D76"/>
    <w:rsid w:val="6EFA4500"/>
    <w:rsid w:val="6F011566"/>
    <w:rsid w:val="6F6E592F"/>
    <w:rsid w:val="6FCB6592"/>
    <w:rsid w:val="70A402CF"/>
    <w:rsid w:val="712D12F9"/>
    <w:rsid w:val="71490590"/>
    <w:rsid w:val="7165302F"/>
    <w:rsid w:val="716D67A9"/>
    <w:rsid w:val="717F0A9B"/>
    <w:rsid w:val="719666A3"/>
    <w:rsid w:val="72076E76"/>
    <w:rsid w:val="720B58AB"/>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61210AA"/>
    <w:rsid w:val="761A1D74"/>
    <w:rsid w:val="767C5C18"/>
    <w:rsid w:val="769D0054"/>
    <w:rsid w:val="76C11445"/>
    <w:rsid w:val="774D5183"/>
    <w:rsid w:val="776B6348"/>
    <w:rsid w:val="77A05FF6"/>
    <w:rsid w:val="77AC3764"/>
    <w:rsid w:val="77DF3816"/>
    <w:rsid w:val="77EA63A3"/>
    <w:rsid w:val="78503AFC"/>
    <w:rsid w:val="78797974"/>
    <w:rsid w:val="78CB0EA8"/>
    <w:rsid w:val="7945193E"/>
    <w:rsid w:val="797B2BE8"/>
    <w:rsid w:val="799F5CAA"/>
    <w:rsid w:val="79C16D88"/>
    <w:rsid w:val="79C55BAD"/>
    <w:rsid w:val="79D67130"/>
    <w:rsid w:val="79D70E4C"/>
    <w:rsid w:val="79EB0AE8"/>
    <w:rsid w:val="7A44619D"/>
    <w:rsid w:val="7AC13FB3"/>
    <w:rsid w:val="7C2408DA"/>
    <w:rsid w:val="7C584AB6"/>
    <w:rsid w:val="7C8901FC"/>
    <w:rsid w:val="7C956E2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10</Pages>
  <Words>3567</Words>
  <Characters>3842</Characters>
  <Lines>38</Lines>
  <Paragraphs>10</Paragraphs>
  <TotalTime>8</TotalTime>
  <ScaleCrop>false</ScaleCrop>
  <LinksUpToDate>false</LinksUpToDate>
  <CharactersWithSpaces>3878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2023-04-19T04:21:02Z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B5C77471095A494BBDFB91EE5B08EEB7</vt:lpwstr>
  </property>
</Properties>
</file>