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w:t>
      </w:r>
    </w:p>
    <w:p>
      <w:pPr>
        <w:pStyle w:val="2"/>
        <w:rPr>
          <w:rFonts w:hint="eastAsia"/>
          <w:color w:val="auto"/>
          <w:lang w:val="en-US" w:eastAsia="zh-CN"/>
        </w:rPr>
      </w:pPr>
    </w:p>
    <w:p>
      <w:pPr>
        <w:jc w:val="center"/>
        <w:rPr>
          <w:rFonts w:hint="default" w:ascii="Times New Roman" w:hAnsi="Times New Roman" w:eastAsia="黑体" w:cs="Times New Roman"/>
          <w:b/>
          <w:color w:val="auto"/>
          <w:sz w:val="32"/>
          <w:szCs w:val="32"/>
        </w:rPr>
      </w:pPr>
    </w:p>
    <w:p>
      <w:pPr>
        <w:pStyle w:val="2"/>
        <w:rPr>
          <w:rFonts w:hint="default" w:ascii="Times New Roman" w:hAnsi="Times New Roman" w:eastAsia="黑体" w:cs="Times New Roman"/>
          <w:b/>
          <w:color w:val="auto"/>
          <w:sz w:val="32"/>
          <w:szCs w:val="32"/>
        </w:rPr>
      </w:pPr>
    </w:p>
    <w:p>
      <w:pPr>
        <w:rPr>
          <w:rFonts w:hint="default" w:ascii="Times New Roman" w:hAnsi="Times New Roman" w:eastAsia="黑体" w:cs="Times New Roman"/>
          <w:b/>
          <w:color w:val="auto"/>
          <w:sz w:val="32"/>
          <w:szCs w:val="32"/>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jc w:val="center"/>
        <w:rPr>
          <w:rFonts w:hint="default" w:ascii="Times New Roman" w:hAnsi="Times New Roman" w:eastAsia="黑体" w:cs="Times New Roman"/>
          <w:b/>
          <w:color w:val="auto"/>
          <w:sz w:val="32"/>
          <w:szCs w:val="32"/>
        </w:rPr>
      </w:pPr>
    </w:p>
    <w:p>
      <w:pPr>
        <w:pStyle w:val="2"/>
        <w:rPr>
          <w:rFonts w:hint="default"/>
          <w:color w:val="auto"/>
        </w:rPr>
      </w:pPr>
      <w:r>
        <w:rPr>
          <w:rFonts w:hint="eastAsia" w:ascii="Times New Roman" w:hAnsi="Times New Roman" w:eastAsia="黑体" w:cs="Times New Roman"/>
          <w:b/>
          <w:color w:val="auto"/>
          <w:sz w:val="44"/>
          <w:szCs w:val="44"/>
          <w:lang w:eastAsia="zh-CN"/>
        </w:rPr>
        <w:t>中国人民政治协商会议察隅县委员会办公室</w:t>
      </w:r>
    </w:p>
    <w:p>
      <w:pPr>
        <w:jc w:val="center"/>
        <w:rPr>
          <w:rFonts w:hint="default" w:ascii="Times New Roman" w:hAnsi="Times New Roman" w:eastAsia="黑体" w:cs="Times New Roman"/>
          <w:b/>
          <w:color w:val="auto"/>
          <w:sz w:val="44"/>
          <w:szCs w:val="44"/>
        </w:rPr>
      </w:pPr>
    </w:p>
    <w:p>
      <w:pPr>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44"/>
          <w:szCs w:val="44"/>
        </w:rPr>
        <w:t>2021年度部门整体支出绩效评价报告</w:t>
      </w: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auto"/>
        <w:ind w:right="-20"/>
        <w:jc w:val="center"/>
        <w:textAlignment w:val="auto"/>
        <w:rPr>
          <w:rFonts w:hint="eastAsia" w:ascii="黑体" w:hAnsi="黑体" w:eastAsia="黑体"/>
          <w:b/>
          <w:color w:val="auto"/>
          <w:sz w:val="36"/>
          <w:szCs w:val="36"/>
          <w:lang w:eastAsia="zh-CN"/>
        </w:rPr>
      </w:pPr>
      <w:r>
        <w:rPr>
          <w:rFonts w:ascii="Times New Roman" w:hAnsi="Times New Roman" w:eastAsia="黑体" w:cs="Times New Roman"/>
          <w:b/>
          <w:color w:val="auto"/>
          <w:sz w:val="32"/>
          <w:szCs w:val="32"/>
        </w:rPr>
        <w:br w:type="page"/>
      </w:r>
      <w:r>
        <w:rPr>
          <w:rFonts w:hint="eastAsia" w:ascii="黑体" w:hAnsi="黑体" w:eastAsia="黑体"/>
          <w:b/>
          <w:color w:val="auto"/>
          <w:sz w:val="36"/>
          <w:szCs w:val="36"/>
          <w:lang w:eastAsia="zh-CN"/>
        </w:rPr>
        <w:t>中国人民政治协商会议察隅县委员会办公室</w:t>
      </w:r>
    </w:p>
    <w:p>
      <w:pPr>
        <w:keepNext w:val="0"/>
        <w:keepLines w:val="0"/>
        <w:pageBreakBefore w:val="0"/>
        <w:widowControl w:val="0"/>
        <w:kinsoku/>
        <w:wordWrap/>
        <w:overflowPunct/>
        <w:topLinePunct w:val="0"/>
        <w:autoSpaceDE w:val="0"/>
        <w:autoSpaceDN w:val="0"/>
        <w:bidi w:val="0"/>
        <w:adjustRightInd w:val="0"/>
        <w:snapToGrid/>
        <w:spacing w:line="480" w:lineRule="auto"/>
        <w:ind w:right="-20"/>
        <w:jc w:val="center"/>
        <w:textAlignment w:val="auto"/>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2021年度部门整体支出绩效评价报告</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规范和加强专项资金使用管理，切实提高财政资金使用效益，强化绩效和责任意识，根据《预算法》、《中共中央国务院关于全面实施预算绩效管理的意见》（中发〔2018〕34号）和《西藏自治区财政厅关于印发&lt;西藏自治区财政支出预算绩效评价管理办法&gt;的通知》（藏财预字〔2017〕89号）等文件的精神，按照察隅县财政局《关于开展察隅县</w:t>
      </w:r>
      <w:r>
        <w:rPr>
          <w:rFonts w:hint="eastAsia" w:ascii="仿宋_GB2312" w:hAnsi="仿宋_GB2312" w:eastAsia="仿宋_GB2312" w:cs="仿宋_GB2312"/>
          <w:color w:val="auto"/>
          <w:sz w:val="28"/>
          <w:szCs w:val="28"/>
          <w:lang w:eastAsia="zh-CN"/>
        </w:rPr>
        <w:t>2021年</w:t>
      </w:r>
      <w:r>
        <w:rPr>
          <w:rFonts w:hint="eastAsia" w:ascii="仿宋_GB2312" w:hAnsi="仿宋_GB2312" w:eastAsia="仿宋_GB2312" w:cs="仿宋_GB2312"/>
          <w:color w:val="auto"/>
          <w:sz w:val="28"/>
          <w:szCs w:val="28"/>
        </w:rPr>
        <w:t>度财政</w:t>
      </w:r>
      <w:r>
        <w:rPr>
          <w:rFonts w:hint="eastAsia" w:ascii="仿宋_GB2312" w:hAnsi="仿宋_GB2312" w:eastAsia="仿宋_GB2312" w:cs="仿宋_GB2312"/>
          <w:color w:val="auto"/>
          <w:sz w:val="28"/>
          <w:szCs w:val="28"/>
          <w:lang w:val="en-US" w:eastAsia="zh-CN"/>
        </w:rPr>
        <w:t>一般公共预算支出</w:t>
      </w:r>
      <w:r>
        <w:rPr>
          <w:rFonts w:hint="eastAsia" w:ascii="仿宋_GB2312" w:hAnsi="仿宋_GB2312" w:eastAsia="仿宋_GB2312" w:cs="仿宋_GB2312"/>
          <w:color w:val="auto"/>
          <w:sz w:val="28"/>
          <w:szCs w:val="28"/>
        </w:rPr>
        <w:t>绩效评价的通知》的要求</w:t>
      </w:r>
      <w:r>
        <w:rPr>
          <w:rFonts w:hint="eastAsia" w:ascii="仿宋_GB2312" w:hAnsi="仿宋_GB2312" w:eastAsia="仿宋_GB2312" w:cs="仿宋_GB2312"/>
          <w:color w:val="auto"/>
          <w:sz w:val="28"/>
          <w:szCs w:val="28"/>
          <w:lang w:eastAsia="zh-CN"/>
        </w:rPr>
        <w:t>我单位对2021年</w:t>
      </w:r>
      <w:r>
        <w:rPr>
          <w:rFonts w:hint="eastAsia" w:ascii="仿宋_GB2312" w:hAnsi="仿宋_GB2312" w:eastAsia="仿宋_GB2312" w:cs="仿宋_GB2312"/>
          <w:color w:val="auto"/>
          <w:sz w:val="28"/>
          <w:szCs w:val="28"/>
        </w:rPr>
        <w:t>度</w:t>
      </w:r>
      <w:r>
        <w:rPr>
          <w:rFonts w:hint="eastAsia" w:ascii="仿宋_GB2312" w:hAnsi="仿宋_GB2312" w:eastAsia="仿宋_GB2312" w:cs="仿宋_GB2312"/>
          <w:color w:val="auto"/>
          <w:sz w:val="28"/>
          <w:szCs w:val="28"/>
          <w:lang w:val="en-US" w:eastAsia="zh-CN"/>
        </w:rPr>
        <w:t>财政一般公共预算</w:t>
      </w:r>
      <w:r>
        <w:rPr>
          <w:rFonts w:hint="eastAsia" w:ascii="仿宋_GB2312" w:hAnsi="仿宋_GB2312" w:eastAsia="仿宋_GB2312" w:cs="仿宋_GB2312"/>
          <w:color w:val="auto"/>
          <w:sz w:val="28"/>
          <w:szCs w:val="28"/>
        </w:rPr>
        <w:t>支出进行绩效评价，具体评价情况如下：</w:t>
      </w:r>
    </w:p>
    <w:p>
      <w:pPr>
        <w:pStyle w:val="4"/>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0" w:name="_Toc48593800"/>
      <w:bookmarkStart w:id="1" w:name="_Toc11259"/>
      <w:r>
        <w:rPr>
          <w:rFonts w:hint="eastAsia" w:ascii="楷体" w:hAnsi="楷体" w:eastAsia="楷体" w:cs="楷体"/>
          <w:color w:val="auto"/>
          <w:sz w:val="28"/>
          <w:szCs w:val="28"/>
        </w:rPr>
        <w:t>一、部门基本情况</w:t>
      </w:r>
      <w:bookmarkEnd w:id="0"/>
      <w:bookmarkEnd w:id="1"/>
    </w:p>
    <w:p>
      <w:pPr>
        <w:pStyle w:val="5"/>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2" w:name="_Toc4136"/>
      <w:bookmarkStart w:id="3" w:name="_Toc14669"/>
      <w:r>
        <w:rPr>
          <w:rFonts w:hint="eastAsia" w:ascii="楷体" w:hAnsi="楷体" w:eastAsia="楷体" w:cs="楷体"/>
          <w:color w:val="auto"/>
          <w:sz w:val="28"/>
          <w:szCs w:val="28"/>
        </w:rPr>
        <w:t>（一）机构职能及组成</w:t>
      </w:r>
      <w:bookmarkEnd w:id="2"/>
    </w:p>
    <w:p>
      <w:pPr>
        <w:pStyle w:val="38"/>
        <w:pageBreakBefore w:val="0"/>
        <w:kinsoku/>
        <w:wordWrap/>
        <w:overflowPunct/>
        <w:topLinePunct w:val="0"/>
        <w:autoSpaceDE/>
        <w:autoSpaceDN/>
        <w:bidi w:val="0"/>
        <w:adjustRightInd/>
        <w:spacing w:line="360" w:lineRule="auto"/>
        <w:ind w:firstLine="562" w:firstLineChars="200"/>
        <w:textAlignment w:val="auto"/>
        <w:rPr>
          <w:rFonts w:hint="eastAsia" w:ascii="楷体" w:hAnsi="楷体" w:eastAsia="楷体" w:cs="楷体"/>
          <w:b/>
          <w:color w:val="auto"/>
          <w:sz w:val="28"/>
          <w:szCs w:val="28"/>
          <w:lang w:val="en-US" w:eastAsia="zh-CN" w:bidi="ar-SA"/>
        </w:rPr>
      </w:pPr>
      <w:r>
        <w:rPr>
          <w:rFonts w:hint="eastAsia" w:ascii="楷体" w:hAnsi="楷体" w:eastAsia="楷体" w:cs="楷体"/>
          <w:b/>
          <w:color w:val="auto"/>
          <w:sz w:val="28"/>
          <w:szCs w:val="28"/>
          <w:lang w:val="en-US" w:eastAsia="zh-CN" w:bidi="ar-SA"/>
        </w:rPr>
        <w:t>1.机构职能</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（1）贯彻执行政协《章程》，搞好政治协商，民主监督、参政议政，高举爱国主义的旗帜、坚持反分裂斗争。</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（2）积极协助本县搞好经济建设和社会主义精神文明建设。</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（3）深入基层调查研究、向县委和政府反映社情民意，对社会稳定、经济建设、贯彻党和国家的方针政策及群众关注的问题提出建议和意见。</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（4）负责联系县政协委员，及时通报情况，反映他们的意见和建议；研究、贯彻政治协商和民主监督工作。</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（5）按照县委和地区政协的部署，会同有关部门开展反分裂斗争以及广泛争取社会各界爱国人士的工作，处理政治协商方面的问题。</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（6）会同有关部门作好县政协每届委员的推选工作,使委员们充分发挥参政议政的作用。</w:t>
      </w:r>
    </w:p>
    <w:p>
      <w:pPr>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（7）承办县委交办的地区政协办公室委托的其他工作。</w:t>
      </w:r>
    </w:p>
    <w:p>
      <w:pPr>
        <w:pageBreakBefore w:val="0"/>
        <w:kinsoku/>
        <w:wordWrap/>
        <w:overflowPunct/>
        <w:topLinePunct w:val="0"/>
        <w:autoSpaceDE/>
        <w:autoSpaceDN/>
        <w:bidi w:val="0"/>
        <w:adjustRightInd/>
        <w:spacing w:line="360" w:lineRule="auto"/>
        <w:ind w:firstLine="562" w:firstLineChars="200"/>
        <w:textAlignment w:val="auto"/>
        <w:rPr>
          <w:rFonts w:hint="eastAsia" w:ascii="楷体" w:hAnsi="楷体" w:eastAsia="楷体" w:cs="楷体"/>
          <w:b/>
          <w:color w:val="auto"/>
          <w:kern w:val="0"/>
          <w:sz w:val="28"/>
          <w:szCs w:val="28"/>
          <w:lang w:bidi="ar"/>
        </w:rPr>
      </w:pPr>
      <w:r>
        <w:rPr>
          <w:rFonts w:hint="eastAsia" w:ascii="楷体" w:hAnsi="楷体" w:eastAsia="楷体" w:cs="楷体"/>
          <w:b/>
          <w:color w:val="auto"/>
          <w:kern w:val="0"/>
          <w:sz w:val="28"/>
          <w:szCs w:val="28"/>
          <w:lang w:bidi="ar"/>
        </w:rPr>
        <w:t>2.机构组成</w:t>
      </w:r>
    </w:p>
    <w:bookmarkEnd w:id="3"/>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察隅县政协办为政协察隅县委员会的综合办事机构，正科级单位。</w:t>
      </w:r>
    </w:p>
    <w:p>
      <w:pPr>
        <w:pStyle w:val="5"/>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4" w:name="_Toc8598"/>
      <w:r>
        <w:rPr>
          <w:rFonts w:hint="eastAsia" w:ascii="楷体" w:hAnsi="楷体" w:eastAsia="楷体" w:cs="楷体"/>
          <w:color w:val="auto"/>
          <w:sz w:val="28"/>
          <w:szCs w:val="28"/>
        </w:rPr>
        <w:t>（二）</w:t>
      </w:r>
      <w:bookmarkEnd w:id="4"/>
      <w:bookmarkStart w:id="5" w:name="_Toc8282"/>
      <w:r>
        <w:rPr>
          <w:rFonts w:hint="eastAsia" w:ascii="楷体" w:hAnsi="楷体" w:eastAsia="楷体" w:cs="楷体"/>
          <w:color w:val="auto"/>
          <w:sz w:val="28"/>
          <w:szCs w:val="28"/>
        </w:rPr>
        <w:t>部门收支情况</w:t>
      </w:r>
      <w:bookmarkEnd w:id="5"/>
    </w:p>
    <w:p>
      <w:pPr>
        <w:pageBreakBefore w:val="0"/>
        <w:widowControl/>
        <w:kinsoku/>
        <w:wordWrap/>
        <w:overflowPunct/>
        <w:topLinePunct w:val="0"/>
        <w:autoSpaceDE/>
        <w:autoSpaceDN/>
        <w:bidi w:val="0"/>
        <w:adjustRightInd/>
        <w:ind w:firstLine="562" w:firstLineChars="200"/>
        <w:jc w:val="left"/>
        <w:textAlignment w:val="auto"/>
        <w:rPr>
          <w:rFonts w:hint="eastAsia" w:ascii="楷体" w:hAnsi="楷体" w:eastAsia="楷体" w:cs="楷体"/>
          <w:b/>
          <w:color w:val="auto"/>
          <w:kern w:val="0"/>
          <w:sz w:val="28"/>
          <w:szCs w:val="28"/>
          <w:lang w:bidi="ar"/>
        </w:rPr>
      </w:pPr>
      <w:bookmarkStart w:id="6" w:name="_Toc48593802"/>
      <w:r>
        <w:rPr>
          <w:rFonts w:hint="eastAsia" w:ascii="楷体" w:hAnsi="楷体" w:eastAsia="楷体" w:cs="楷体"/>
          <w:b/>
          <w:color w:val="auto"/>
          <w:kern w:val="0"/>
          <w:sz w:val="28"/>
          <w:szCs w:val="28"/>
          <w:lang w:bidi="ar"/>
        </w:rPr>
        <w:t>1.预算资金批复与决算情况</w:t>
      </w:r>
      <w:bookmarkEnd w:id="6"/>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中国人民政治协商会议察隅县委员会办公室2021年度调整后收入预算总额2,257,413.74元（不含年初结转结余1,080.00元），决算总收入2,258,493.74元，其中：一般公共预算财政拨款收入2,258,493.74元。</w:t>
      </w:r>
    </w:p>
    <w:p>
      <w:pPr>
        <w:pageBreakBefore w:val="0"/>
        <w:widowControl/>
        <w:kinsoku/>
        <w:wordWrap/>
        <w:overflowPunct/>
        <w:topLinePunct w:val="0"/>
        <w:autoSpaceDE/>
        <w:autoSpaceDN/>
        <w:bidi w:val="0"/>
        <w:adjustRightInd/>
        <w:ind w:firstLine="562" w:firstLineChars="200"/>
        <w:jc w:val="left"/>
        <w:textAlignment w:val="auto"/>
        <w:rPr>
          <w:rFonts w:hint="eastAsia" w:ascii="楷体" w:hAnsi="楷体" w:eastAsia="楷体" w:cs="楷体"/>
          <w:b/>
          <w:color w:val="auto"/>
          <w:kern w:val="0"/>
          <w:sz w:val="28"/>
          <w:szCs w:val="28"/>
          <w:lang w:bidi="ar"/>
        </w:rPr>
      </w:pPr>
      <w:bookmarkStart w:id="7" w:name="_Toc48593803"/>
      <w:r>
        <w:rPr>
          <w:rFonts w:hint="eastAsia" w:ascii="楷体" w:hAnsi="楷体" w:eastAsia="楷体" w:cs="楷体"/>
          <w:b/>
          <w:color w:val="auto"/>
          <w:kern w:val="0"/>
          <w:sz w:val="28"/>
          <w:szCs w:val="28"/>
          <w:lang w:bidi="ar"/>
        </w:rPr>
        <w:t>2.预算资金支出情况</w:t>
      </w:r>
      <w:bookmarkEnd w:id="7"/>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中国人民政治协商会议察隅县委员会办公室2021年度调整后预算支出2,258,493.74元，决算总支出2,258,493.74元，其中：基本支出2,227,413.74元，项目支出31,080.00元。</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2021年度年末结转和结余为0.00元。</w:t>
      </w:r>
    </w:p>
    <w:p>
      <w:pPr>
        <w:pStyle w:val="5"/>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8" w:name="_Toc1047"/>
      <w:bookmarkStart w:id="9" w:name="_Toc48593804"/>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）部门目标实现情况</w:t>
      </w:r>
      <w:bookmarkEnd w:id="8"/>
      <w:bookmarkEnd w:id="9"/>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年，在县委坚强领导下，县政协及其常委会坚持以习近平新时代中国特色社会主义思想为指导，深入学习贯彻党的十九大、十九届历次全会和中央第七次西藏工作座谈会精神，深入学习贯彻习近平总书记关于加强和改进人民政协工作的重要思想，深入学习贯彻习近平总书记视察西藏重要讲话精神和新时代党的治藏方略，坚决贯彻落实党中央和区党委、市委、县委决策部署及对政协工作的新要求。</w:t>
      </w:r>
    </w:p>
    <w:p>
      <w:pPr>
        <w:pStyle w:val="4"/>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37" w:name="_GoBack"/>
      <w:bookmarkEnd w:id="37"/>
      <w:bookmarkStart w:id="10" w:name="_Toc48593805"/>
      <w:bookmarkStart w:id="11" w:name="_Toc3377"/>
      <w:r>
        <w:rPr>
          <w:rFonts w:hint="eastAsia" w:ascii="楷体" w:hAnsi="楷体" w:eastAsia="楷体" w:cs="楷体"/>
          <w:color w:val="auto"/>
          <w:sz w:val="28"/>
          <w:szCs w:val="28"/>
        </w:rPr>
        <w:t>二、绩效评价概述</w:t>
      </w:r>
      <w:bookmarkEnd w:id="10"/>
      <w:bookmarkEnd w:id="11"/>
    </w:p>
    <w:p>
      <w:pPr>
        <w:pStyle w:val="5"/>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12" w:name="_Toc48593807"/>
      <w:bookmarkStart w:id="13" w:name="_Toc6050"/>
      <w:r>
        <w:rPr>
          <w:rFonts w:hint="eastAsia" w:ascii="楷体" w:hAnsi="楷体" w:eastAsia="楷体" w:cs="楷体"/>
          <w:color w:val="auto"/>
          <w:sz w:val="28"/>
          <w:szCs w:val="28"/>
        </w:rPr>
        <w:t>（一）绩效评价实施过程情况</w:t>
      </w:r>
      <w:bookmarkEnd w:id="12"/>
      <w:bookmarkEnd w:id="13"/>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评价小组按照评价日程安排，对中国人民政治协商会议察隅县委员会办公室提交的评价资料进行认真梳理，测算分析各项指标，汇总评分并形成评价报告。</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（1）对相关资料进行研读，对整体评价有基本的把握和了解，归纳出进一步评价所需的信息供下一步取数参考。</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（2）集中对各个评价指标逐一进行分析，以保证取数的准确性。</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（3）评价小组汇总分析评价过程中发现的问题并对存在问题进行讨论，根据取得的数据分别计算各评价指标所得分数，形成评价结果。</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（4）根据评价结果，撰写评价报告。</w:t>
      </w:r>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（5）与绩效评价相关者沟通，完善并形成绩效评价报告终稿。</w:t>
      </w:r>
    </w:p>
    <w:p>
      <w:pPr>
        <w:pStyle w:val="5"/>
        <w:pageBreakBefore w:val="0"/>
        <w:kinsoku/>
        <w:wordWrap/>
        <w:overflowPunct/>
        <w:topLinePunct w:val="0"/>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14" w:name="_Toc32519"/>
      <w:r>
        <w:rPr>
          <w:rFonts w:hint="eastAsia" w:ascii="楷体" w:hAnsi="楷体" w:eastAsia="楷体" w:cs="楷体"/>
          <w:color w:val="auto"/>
          <w:sz w:val="28"/>
          <w:szCs w:val="28"/>
        </w:rPr>
        <w:t>（二）绩效评价整体结果概况</w:t>
      </w:r>
      <w:bookmarkEnd w:id="14"/>
    </w:p>
    <w:p>
      <w:pPr>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次绩效评价指标量化分值采取百分制，财政支出绩效等级分为优（≥90）、良（≥80,&lt;90）、中（≥60,&lt;79）、差（&lt;60）四个等级。根据《西藏自治区中国人民政治协商会议察隅县委员会办公室部门绩效评价指标体系》逐条评价，察隅县政协办部门绩效评价得分为82.71分，绩效等级为“良”。</w:t>
      </w:r>
    </w:p>
    <w:tbl>
      <w:tblPr>
        <w:tblStyle w:val="19"/>
        <w:tblW w:w="8519"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1984"/>
        <w:gridCol w:w="2184"/>
        <w:gridCol w:w="2184"/>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519" w:type="dxa"/>
            <w:gridSpan w:val="5"/>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表1  评价结果简表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78" w:type="dxa"/>
            <w:tcBorders>
              <w:top w:val="single" w:color="auto" w:sz="12"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9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一级指标名称</w:t>
            </w:r>
          </w:p>
        </w:tc>
        <w:tc>
          <w:tcPr>
            <w:tcW w:w="21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标准分值</w:t>
            </w:r>
          </w:p>
        </w:tc>
        <w:tc>
          <w:tcPr>
            <w:tcW w:w="21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实际得分</w:t>
            </w:r>
          </w:p>
        </w:tc>
        <w:tc>
          <w:tcPr>
            <w:tcW w:w="1289" w:type="dxa"/>
            <w:tcBorders>
              <w:top w:val="single" w:color="auto" w:sz="12" w:space="0"/>
              <w:left w:val="dotted" w:color="auto" w:sz="4" w:space="0"/>
              <w:bottom w:val="dotted" w:color="auto" w:sz="4" w:space="0"/>
              <w:right w:val="single" w:color="auto" w:sz="12"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投入</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8.40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过程</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45.00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产出</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15.00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效果</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14.31</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1984" w:type="dxa"/>
            <w:tcBorders>
              <w:top w:val="dotted" w:color="auto" w:sz="4" w:space="0"/>
              <w:left w:val="dotted" w:color="auto" w:sz="4" w:space="0"/>
              <w:bottom w:val="single" w:color="auto" w:sz="12" w:space="0"/>
              <w:right w:val="dotted" w:color="auto" w:sz="4" w:space="0"/>
            </w:tcBorders>
            <w:noWrap/>
            <w:vAlign w:val="center"/>
          </w:tcPr>
          <w:p>
            <w:pPr>
              <w:jc w:val="center"/>
              <w:rPr>
                <w:rFonts w:hint="eastAsia" w:ascii="仿宋_GB2312" w:hAnsi="仿宋_GB2312" w:eastAsia="仿宋_GB2312" w:cs="仿宋_GB2312"/>
                <w:b/>
                <w:bCs/>
                <w:i w:val="0"/>
                <w:iCs w:val="0"/>
                <w:color w:val="auto"/>
                <w:sz w:val="24"/>
                <w:szCs w:val="24"/>
                <w:u w:val="none"/>
              </w:rPr>
            </w:pPr>
          </w:p>
        </w:tc>
        <w:tc>
          <w:tcPr>
            <w:tcW w:w="2184" w:type="dxa"/>
            <w:tcBorders>
              <w:top w:val="dotted" w:color="auto" w:sz="4" w:space="0"/>
              <w:left w:val="dotted" w:color="auto" w:sz="4"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100</w:t>
            </w:r>
          </w:p>
        </w:tc>
        <w:tc>
          <w:tcPr>
            <w:tcW w:w="2184" w:type="dxa"/>
            <w:tcBorders>
              <w:top w:val="dotted" w:color="auto" w:sz="4" w:space="0"/>
              <w:left w:val="dotted" w:color="auto" w:sz="4"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auto"/>
                <w:sz w:val="24"/>
                <w:szCs w:val="24"/>
                <w:u w:val="none"/>
                <w:lang w:val="en-US" w:eastAsia="zh-CN"/>
              </w:rPr>
            </w:pPr>
            <w:r>
              <w:rPr>
                <w:rFonts w:hint="default" w:ascii="仿宋_GB2312" w:hAnsi="宋体" w:eastAsia="仿宋_GB2312" w:cs="仿宋_GB2312"/>
                <w:b/>
                <w:bCs/>
                <w:i w:val="0"/>
                <w:iCs w:val="0"/>
                <w:color w:val="000000"/>
                <w:kern w:val="0"/>
                <w:sz w:val="24"/>
                <w:szCs w:val="24"/>
                <w:u w:val="none"/>
                <w:lang w:eastAsia="zh-CN" w:bidi="ar"/>
              </w:rPr>
              <w:fldChar w:fldCharType="begin"/>
            </w:r>
            <w:r>
              <w:rPr>
                <w:rFonts w:hint="default" w:ascii="仿宋_GB2312" w:hAnsi="宋体" w:eastAsia="仿宋_GB2312" w:cs="仿宋_GB2312"/>
                <w:b/>
                <w:bCs/>
                <w:i w:val="0"/>
                <w:iCs w:val="0"/>
                <w:color w:val="000000"/>
                <w:kern w:val="0"/>
                <w:sz w:val="24"/>
                <w:szCs w:val="24"/>
                <w:u w:val="none"/>
                <w:lang w:eastAsia="zh-CN" w:bidi="ar"/>
              </w:rPr>
              <w:instrText xml:space="preserve"> =SUM(ABOVE) \* MERGEFORMAT </w:instrText>
            </w:r>
            <w:r>
              <w:rPr>
                <w:rFonts w:hint="default" w:ascii="仿宋_GB2312" w:hAnsi="宋体" w:eastAsia="仿宋_GB2312" w:cs="仿宋_GB2312"/>
                <w:b/>
                <w:bCs/>
                <w:i w:val="0"/>
                <w:iCs w:val="0"/>
                <w:color w:val="000000"/>
                <w:kern w:val="0"/>
                <w:sz w:val="24"/>
                <w:szCs w:val="24"/>
                <w:u w:val="none"/>
                <w:lang w:eastAsia="zh-CN" w:bidi="ar"/>
              </w:rPr>
              <w:fldChar w:fldCharType="separate"/>
            </w:r>
            <w:r>
              <w:rPr>
                <w:rFonts w:hint="default" w:ascii="仿宋_GB2312" w:hAnsi="宋体" w:eastAsia="仿宋_GB2312" w:cs="仿宋_GB2312"/>
                <w:b/>
                <w:bCs/>
                <w:i w:val="0"/>
                <w:iCs w:val="0"/>
                <w:color w:val="000000"/>
                <w:kern w:val="0"/>
                <w:sz w:val="24"/>
                <w:szCs w:val="24"/>
                <w:u w:val="none"/>
                <w:lang w:eastAsia="zh-CN" w:bidi="ar"/>
              </w:rPr>
              <w:t>82.71</w:t>
            </w:r>
            <w:r>
              <w:rPr>
                <w:rFonts w:hint="default" w:ascii="仿宋_GB2312" w:hAnsi="宋体" w:eastAsia="仿宋_GB2312" w:cs="仿宋_GB2312"/>
                <w:b/>
                <w:bCs/>
                <w:i w:val="0"/>
                <w:iCs w:val="0"/>
                <w:color w:val="000000"/>
                <w:kern w:val="0"/>
                <w:sz w:val="24"/>
                <w:szCs w:val="24"/>
                <w:u w:val="none"/>
                <w:lang w:eastAsia="zh-CN" w:bidi="ar"/>
              </w:rPr>
              <w:fldChar w:fldCharType="end"/>
            </w:r>
          </w:p>
        </w:tc>
        <w:tc>
          <w:tcPr>
            <w:tcW w:w="1289" w:type="dxa"/>
            <w:tcBorders>
              <w:top w:val="dotted" w:color="auto" w:sz="4" w:space="0"/>
              <w:left w:val="dotted" w:color="auto" w:sz="4" w:space="0"/>
              <w:bottom w:val="single" w:color="auto" w:sz="12" w:space="0"/>
              <w:right w:val="single" w:color="auto" w:sz="12" w:space="0"/>
            </w:tcBorders>
            <w:noWrap/>
            <w:vAlign w:val="center"/>
          </w:tcPr>
          <w:p>
            <w:pPr>
              <w:jc w:val="center"/>
              <w:rPr>
                <w:rFonts w:hint="eastAsia" w:ascii="仿宋_GB2312" w:hAnsi="仿宋_GB2312" w:eastAsia="仿宋_GB2312" w:cs="仿宋_GB2312"/>
                <w:b/>
                <w:bCs/>
                <w:i w:val="0"/>
                <w:iCs w:val="0"/>
                <w:color w:val="auto"/>
                <w:sz w:val="24"/>
                <w:szCs w:val="24"/>
                <w:u w:val="none"/>
              </w:rPr>
            </w:pPr>
          </w:p>
        </w:tc>
      </w:tr>
    </w:tbl>
    <w:p>
      <w:pPr>
        <w:pStyle w:val="4"/>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val="0"/>
          <w:color w:val="auto"/>
          <w:sz w:val="28"/>
        </w:rPr>
      </w:pPr>
      <w:bookmarkStart w:id="15" w:name="_Toc48593809"/>
      <w:bookmarkStart w:id="16" w:name="_Toc3293"/>
      <w:r>
        <w:rPr>
          <w:rFonts w:hint="eastAsia" w:ascii="楷体" w:hAnsi="楷体" w:eastAsia="楷体" w:cs="楷体"/>
          <w:color w:val="auto"/>
          <w:sz w:val="28"/>
          <w:szCs w:val="28"/>
        </w:rPr>
        <w:t>三、</w:t>
      </w:r>
      <w:bookmarkEnd w:id="15"/>
      <w:r>
        <w:rPr>
          <w:rFonts w:hint="eastAsia" w:ascii="楷体" w:hAnsi="楷体" w:eastAsia="楷体" w:cs="楷体"/>
          <w:color w:val="auto"/>
          <w:sz w:val="28"/>
          <w:szCs w:val="28"/>
        </w:rPr>
        <w:t>部门整体支出绩效评价分析</w:t>
      </w:r>
      <w:bookmarkEnd w:id="16"/>
    </w:p>
    <w:p>
      <w:pPr>
        <w:pageBreakBefore w:val="0"/>
        <w:widowControl w:val="0"/>
        <w:kinsoku/>
        <w:wordWrap/>
        <w:overflowPunct/>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评价小组依据既定的指标体系和评分标准，从投入、过程、产出、效果四个方面进行评价，评价得分采用百分制，绩效指标具体评价分析如下：</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17" w:name="_Toc48593810"/>
      <w:bookmarkStart w:id="18" w:name="_Toc20150"/>
      <w:r>
        <w:rPr>
          <w:rFonts w:hint="eastAsia" w:ascii="楷体" w:hAnsi="楷体" w:eastAsia="楷体" w:cs="楷体"/>
          <w:color w:val="auto"/>
          <w:sz w:val="28"/>
          <w:szCs w:val="28"/>
        </w:rPr>
        <w:t>（一）投入</w:t>
      </w:r>
      <w:bookmarkEnd w:id="17"/>
      <w:bookmarkEnd w:id="18"/>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1.目标设定</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1.1职责明确</w:t>
      </w:r>
    </w:p>
    <w:p>
      <w:pPr>
        <w:pageBreakBefore w:val="0"/>
        <w:widowControl w:val="0"/>
        <w:kinsoku/>
        <w:wordWrap/>
        <w:overflowPunct/>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该指标主要评价部门的职责设定是否符合“三定”方案中所赋予的职责，用以反映和评价部门工作的目的性与计划性。</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部门的职责设定是否符合“三定”方案中所赋予的职责。</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符合（1分）；不符合（0分）。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符合，本指标评价得1分。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val="en-US" w:eastAsia="zh-CN"/>
        </w:rPr>
        <w:t>察隅县政协办</w:t>
      </w:r>
      <w:r>
        <w:rPr>
          <w:rFonts w:hint="eastAsia" w:ascii="仿宋_GB2312" w:hAnsi="仿宋_GB2312" w:eastAsia="仿宋_GB2312" w:cs="仿宋_GB2312"/>
          <w:color w:val="auto"/>
          <w:sz w:val="28"/>
          <w:szCs w:val="28"/>
          <w:highlight w:val="none"/>
        </w:rPr>
        <w:t>的部门职责设定符合察隅县县委办印发的《</w:t>
      </w:r>
      <w:r>
        <w:rPr>
          <w:rFonts w:hint="eastAsia" w:ascii="仿宋_GB2312" w:hAnsi="仿宋_GB2312" w:eastAsia="仿宋_GB2312" w:cs="仿宋_GB2312"/>
          <w:color w:val="auto"/>
          <w:sz w:val="28"/>
          <w:szCs w:val="28"/>
          <w:highlight w:val="none"/>
          <w:lang w:eastAsia="zh-CN"/>
        </w:rPr>
        <w:t>政协察隅县委员会办公室职能配置和人员编制方案</w:t>
      </w:r>
      <w:r>
        <w:rPr>
          <w:rFonts w:hint="eastAsia" w:ascii="仿宋_GB2312" w:hAnsi="仿宋_GB2312" w:eastAsia="仿宋_GB2312" w:cs="仿宋_GB2312"/>
          <w:color w:val="auto"/>
          <w:sz w:val="28"/>
          <w:szCs w:val="28"/>
          <w:highlight w:val="none"/>
        </w:rPr>
        <w:t>》中所赋予的职责和年度承担的重点工作。</w:t>
      </w:r>
      <w:r>
        <w:rPr>
          <w:rFonts w:hint="eastAsia" w:ascii="仿宋_GB2312" w:hAnsi="仿宋_GB2312" w:eastAsia="仿宋_GB2312" w:cs="仿宋_GB2312"/>
          <w:color w:val="auto"/>
          <w:sz w:val="28"/>
          <w:szCs w:val="28"/>
          <w:highlight w:val="none"/>
          <w:lang w:val="en-US" w:eastAsia="zh-CN"/>
        </w:rPr>
        <w:t>察隅县政协办</w:t>
      </w:r>
      <w:r>
        <w:rPr>
          <w:rFonts w:hint="eastAsia" w:ascii="仿宋_GB2312" w:hAnsi="仿宋_GB2312" w:eastAsia="仿宋_GB2312" w:cs="仿宋_GB2312"/>
          <w:color w:val="auto"/>
          <w:kern w:val="2"/>
          <w:sz w:val="28"/>
          <w:szCs w:val="28"/>
          <w:highlight w:val="none"/>
          <w:lang w:val="en-US" w:eastAsia="zh-CN" w:bidi="ar-SA"/>
        </w:rPr>
        <w:t>编</w:t>
      </w:r>
      <w:r>
        <w:rPr>
          <w:rFonts w:hint="eastAsia" w:ascii="仿宋_GB2312" w:hAnsi="仿宋_GB2312" w:eastAsia="仿宋_GB2312" w:cs="仿宋_GB2312"/>
          <w:color w:val="auto"/>
          <w:sz w:val="28"/>
          <w:szCs w:val="28"/>
          <w:highlight w:val="none"/>
          <w:lang w:val="en-US" w:eastAsia="zh-CN"/>
        </w:rPr>
        <w:t>制的《2021年度工作计划》</w:t>
      </w:r>
      <w:r>
        <w:rPr>
          <w:rFonts w:hint="eastAsia" w:ascii="仿宋_GB2312" w:hAnsi="仿宋_GB2312" w:eastAsia="仿宋_GB2312" w:cs="仿宋_GB2312"/>
          <w:color w:val="auto"/>
          <w:kern w:val="2"/>
          <w:sz w:val="28"/>
          <w:szCs w:val="28"/>
          <w:highlight w:val="none"/>
          <w:lang w:val="en-US" w:eastAsia="zh-CN" w:bidi="ar-SA"/>
        </w:rPr>
        <w:t>与“三定”方案相符。</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1.2活动合规性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该指标主要评价部门的活动是否在职责范围之内并符合部门中长期规划，用以反映和评价部门活动目标与部门履职、年度工作任务的相符性情况。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（1）部门活动的设定在部门所确定的职责范围之内；</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（2）部门活动符合</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rPr>
        <w:t>委、</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rPr>
        <w:t>政府的发展规划及本部门的年度工作安排与发展规划。</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全部符合（1分）；其中一项不符合（0分）。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w:t>
      </w:r>
      <w:r>
        <w:rPr>
          <w:rFonts w:hint="eastAsia" w:ascii="仿宋_GB2312" w:hAnsi="仿宋_GB2312" w:eastAsia="仿宋_GB2312" w:cs="仿宋_GB2312"/>
          <w:color w:val="auto"/>
          <w:sz w:val="28"/>
          <w:szCs w:val="28"/>
          <w:lang w:val="en-US" w:eastAsia="zh-CN"/>
        </w:rPr>
        <w:t>，本指标评价得1分。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绩效分析：</w:t>
      </w:r>
      <w:r>
        <w:rPr>
          <w:rFonts w:hint="eastAsia" w:ascii="仿宋_GB2312" w:hAnsi="仿宋_GB2312" w:eastAsia="仿宋_GB2312" w:cs="仿宋_GB2312"/>
          <w:b w:val="0"/>
          <w:bCs w:val="0"/>
          <w:color w:val="auto"/>
          <w:sz w:val="28"/>
          <w:szCs w:val="28"/>
          <w:lang w:val="en-US" w:eastAsia="zh-CN"/>
        </w:rPr>
        <w:t>察隅县政协办制定的《2021年度工作计划》与</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政协察隅县委员会办公室职能配置和人员编制方案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lang w:val="en-US" w:eastAsia="zh-CN"/>
        </w:rPr>
        <w:t>、《察隅县国民经济和社会发展第十四个五年规划和二〇三五年远景目标</w:t>
      </w:r>
      <w:r>
        <w:rPr>
          <w:rFonts w:hint="eastAsia" w:ascii="仿宋_GB2312" w:hAnsi="仿宋_GB2312" w:eastAsia="仿宋_GB2312" w:cs="仿宋_GB2312"/>
          <w:color w:val="auto"/>
          <w:sz w:val="28"/>
          <w:szCs w:val="28"/>
          <w:highlight w:val="none"/>
          <w:lang w:val="en-US" w:eastAsia="zh-CN"/>
        </w:rPr>
        <w:t>纲要》相符。</w:t>
      </w:r>
      <w:r>
        <w:rPr>
          <w:rFonts w:hint="eastAsia" w:ascii="仿宋_GB2312" w:hAnsi="仿宋_GB2312" w:eastAsia="仿宋_GB2312" w:cs="仿宋_GB2312"/>
          <w:b w:val="0"/>
          <w:bCs w:val="0"/>
          <w:color w:val="auto"/>
          <w:sz w:val="28"/>
          <w:szCs w:val="28"/>
          <w:highlight w:val="none"/>
          <w:lang w:val="en-US" w:eastAsia="zh-CN"/>
        </w:rPr>
        <w:t>察隅县政协办</w:t>
      </w:r>
      <w:r>
        <w:rPr>
          <w:rFonts w:hint="eastAsia" w:ascii="仿宋_GB2312" w:hAnsi="仿宋_GB2312" w:eastAsia="仿宋_GB2312" w:cs="仿宋_GB2312"/>
          <w:color w:val="auto"/>
          <w:sz w:val="28"/>
          <w:szCs w:val="28"/>
          <w:highlight w:val="none"/>
          <w:lang w:val="en-US" w:eastAsia="zh-CN"/>
        </w:rPr>
        <w:t>为政协察隅县委员会的综合</w:t>
      </w:r>
      <w:r>
        <w:rPr>
          <w:rFonts w:hint="eastAsia" w:ascii="仿宋_GB2312" w:hAnsi="仿宋_GB2312" w:eastAsia="仿宋_GB2312" w:cs="仿宋_GB2312"/>
          <w:color w:val="auto"/>
          <w:sz w:val="28"/>
          <w:szCs w:val="28"/>
          <w:lang w:val="en-US" w:eastAsia="zh-CN"/>
        </w:rPr>
        <w:t>办事机构，</w:t>
      </w:r>
      <w:r>
        <w:rPr>
          <w:rFonts w:hint="eastAsia" w:ascii="仿宋_GB2312" w:hAnsi="仿宋_GB2312" w:eastAsia="仿宋_GB2312" w:cs="仿宋_GB2312"/>
          <w:b w:val="0"/>
          <w:bCs w:val="0"/>
          <w:color w:val="auto"/>
          <w:sz w:val="28"/>
          <w:szCs w:val="28"/>
          <w:lang w:val="en-US" w:eastAsia="zh-CN"/>
        </w:rPr>
        <w:t>在县党委和上级政协领导下工作，全年工作要点均按县党委和上级政协的工作思路制定，</w:t>
      </w:r>
      <w:r>
        <w:rPr>
          <w:rFonts w:hint="eastAsia" w:ascii="仿宋_GB2312" w:hAnsi="仿宋_GB2312" w:eastAsia="仿宋_GB2312" w:cs="仿宋_GB2312"/>
          <w:color w:val="auto"/>
          <w:sz w:val="28"/>
          <w:szCs w:val="28"/>
          <w:lang w:val="en-US" w:eastAsia="zh-CN"/>
        </w:rPr>
        <w:t>故</w:t>
      </w:r>
      <w:r>
        <w:rPr>
          <w:rFonts w:hint="eastAsia" w:ascii="仿宋_GB2312" w:hAnsi="仿宋_GB2312" w:eastAsia="仿宋_GB2312" w:cs="仿宋_GB2312"/>
          <w:b w:val="0"/>
          <w:bCs w:val="0"/>
          <w:color w:val="auto"/>
          <w:sz w:val="28"/>
          <w:szCs w:val="28"/>
          <w:lang w:val="en-US" w:eastAsia="zh-CN"/>
        </w:rPr>
        <w:t>察隅县政协办</w:t>
      </w:r>
      <w:r>
        <w:rPr>
          <w:rFonts w:hint="eastAsia" w:ascii="仿宋_GB2312" w:hAnsi="仿宋_GB2312" w:eastAsia="仿宋_GB2312" w:cs="仿宋_GB2312"/>
          <w:color w:val="auto"/>
          <w:sz w:val="28"/>
          <w:szCs w:val="28"/>
          <w:lang w:val="en-US" w:eastAsia="zh-CN"/>
        </w:rPr>
        <w:t>未制定《部门中长期规划》。</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1.3活动合理性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该指标评价部门所设立的活动是否明确且活动的关键性指标设置是否可衡量，用以反映和评价部门活动目标设定的合理性。</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（1）活动目标的设定是可量化的，可通过清晰、可衡量的关键指标值予以体现；</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（2）在活动目标设定时，将关键指标明细分解为具体的达成目标与工作任务。</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全部符合（1分）；其中一项不符合（0分）。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符合，本指标评价得1分。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lang w:val="en-US" w:eastAsia="zh-CN"/>
        </w:rPr>
        <w:t>察隅县政协办</w:t>
      </w:r>
      <w:r>
        <w:rPr>
          <w:rFonts w:hint="eastAsia" w:ascii="仿宋_GB2312" w:hAnsi="仿宋_GB2312" w:eastAsia="仿宋_GB2312" w:cs="仿宋_GB2312"/>
          <w:color w:val="auto"/>
          <w:sz w:val="28"/>
          <w:szCs w:val="28"/>
          <w:lang w:eastAsia="zh-CN"/>
        </w:rPr>
        <w:t>2021年无申报绩效目标项目、下达的预算指标等文件，经查阅《</w:t>
      </w:r>
      <w:r>
        <w:rPr>
          <w:rFonts w:hint="eastAsia" w:ascii="仿宋_GB2312" w:hAnsi="仿宋_GB2312" w:eastAsia="仿宋_GB2312" w:cs="仿宋_GB2312"/>
          <w:color w:val="auto"/>
          <w:sz w:val="28"/>
          <w:szCs w:val="28"/>
          <w:lang w:val="en-US" w:eastAsia="zh-CN"/>
        </w:rPr>
        <w:t>2021年度工作计划</w:t>
      </w:r>
      <w:r>
        <w:rPr>
          <w:rFonts w:hint="eastAsia" w:ascii="仿宋_GB2312" w:hAnsi="仿宋_GB2312" w:eastAsia="仿宋_GB2312" w:cs="仿宋_GB2312"/>
          <w:color w:val="auto"/>
          <w:sz w:val="28"/>
          <w:szCs w:val="28"/>
          <w:lang w:eastAsia="zh-CN"/>
        </w:rPr>
        <w:t>》等资料，</w:t>
      </w:r>
      <w:r>
        <w:rPr>
          <w:rFonts w:hint="eastAsia" w:ascii="仿宋_GB2312" w:hAnsi="仿宋_GB2312" w:eastAsia="仿宋_GB2312" w:cs="仿宋_GB2312"/>
          <w:color w:val="auto"/>
          <w:sz w:val="28"/>
          <w:szCs w:val="28"/>
          <w:lang w:val="en-US" w:eastAsia="zh-CN"/>
        </w:rPr>
        <w:t>察隅县政协办</w:t>
      </w:r>
      <w:r>
        <w:rPr>
          <w:rFonts w:hint="eastAsia" w:ascii="仿宋_GB2312" w:hAnsi="仿宋_GB2312" w:eastAsia="仿宋_GB2312" w:cs="仿宋_GB2312"/>
          <w:color w:val="auto"/>
          <w:sz w:val="28"/>
          <w:szCs w:val="28"/>
          <w:lang w:eastAsia="zh-CN"/>
        </w:rPr>
        <w:t>目标设定清晰、可衡量、可量化、且关键指标分解为具体达成目标与工作任务。</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1.4目标覆盖率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部门年度申报绩效目标项目资金额与部门项目预算资金总额的比率，用以反映部门落实财政部门绩效目标申报要求的资金覆盖情况。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覆盖率=实际申报绩效目标项目资金总额/部门项目预算资金总额×100%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达到目标值得1分，未达到目标值采用完成比率法计分：得分=覆盖率/目标值×1，超过目标值不加分。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不</w:t>
      </w:r>
      <w:r>
        <w:rPr>
          <w:rFonts w:hint="eastAsia" w:ascii="仿宋_GB2312" w:hAnsi="仿宋_GB2312" w:eastAsia="仿宋_GB2312" w:cs="仿宋_GB2312"/>
          <w:b w:val="0"/>
          <w:bCs w:val="0"/>
          <w:color w:val="auto"/>
          <w:sz w:val="28"/>
          <w:szCs w:val="28"/>
        </w:rPr>
        <w:t>符合，本指标评价得</w:t>
      </w:r>
      <w:r>
        <w:rPr>
          <w:rFonts w:hint="eastAsia" w:ascii="仿宋_GB2312" w:hAnsi="仿宋_GB2312" w:eastAsia="仿宋_GB2312" w:cs="仿宋_GB2312"/>
          <w:b w:val="0"/>
          <w:bCs w:val="0"/>
          <w:color w:val="auto"/>
          <w:sz w:val="28"/>
          <w:szCs w:val="28"/>
          <w:lang w:val="en-US" w:eastAsia="zh-CN"/>
        </w:rPr>
        <w:t>0</w:t>
      </w:r>
      <w:r>
        <w:rPr>
          <w:rFonts w:hint="eastAsia" w:ascii="仿宋_GB2312" w:hAnsi="仿宋_GB2312" w:eastAsia="仿宋_GB2312" w:cs="仿宋_GB2312"/>
          <w:b w:val="0"/>
          <w:bCs w:val="0"/>
          <w:color w:val="auto"/>
          <w:sz w:val="28"/>
          <w:szCs w:val="28"/>
        </w:rPr>
        <w:t>分</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lang w:val="en-US" w:eastAsia="zh-CN"/>
        </w:rPr>
        <w:t>察隅县政协办2021年无申报绩效目标项目，项目资金预算30,000.00元，覆盖率=（0/30000）×100%=0.00%。</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1.5目标管理创新</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部门编报整体绩效目标和申报项目绩效目标的数量超过规定的要求。用以反映和考核部门绩效目标管理创新工作情况。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项目绩效目标创新=部门绩效目标编报数量-按财政部门要求的绩效目标填报数量</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每超过1项得0.1分，满分1分。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不</w:t>
      </w:r>
      <w:r>
        <w:rPr>
          <w:rFonts w:hint="eastAsia" w:ascii="仿宋_GB2312" w:hAnsi="仿宋_GB2312" w:eastAsia="仿宋_GB2312" w:cs="仿宋_GB2312"/>
          <w:b w:val="0"/>
          <w:bCs w:val="0"/>
          <w:color w:val="auto"/>
          <w:sz w:val="28"/>
          <w:szCs w:val="28"/>
        </w:rPr>
        <w:t>符合，</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lang w:val="en-US" w:eastAsia="zh-CN"/>
        </w:rPr>
        <w:t>察隅县政协办2021年度未进行部门绩效目标和项目绩效目标编报</w:t>
      </w:r>
      <w:r>
        <w:rPr>
          <w:rFonts w:hint="eastAsia" w:ascii="仿宋_GB2312" w:hAnsi="仿宋_GB2312" w:eastAsia="仿宋_GB2312" w:cs="仿宋_GB2312"/>
          <w:color w:val="auto"/>
          <w:sz w:val="28"/>
          <w:szCs w:val="28"/>
        </w:rPr>
        <w:t>，因此无项目绩效目标创新，扣1分。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2.预算配置</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2.1财政供养人员控制率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该指标通过部门本年度实际在职人员数与编制数的比率，反映和评价部门对人员成本的控制程度。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在职人员控制率=(在职人员数/编制数)×100%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（1）在职人员控制率小于或等于100%的，得满分；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（2）每超出1人扣0.1分，扣完为止。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解释说明：</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在职人员控制率=（在职人员数/编制数）×100%。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在职人员数：部门实际在职人数，以财政部确定的部门决算编制口径为准，由编制部门和人劳部门批复同意的临聘人员除外。</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编制数：机构编制部门核定批复的部门人员编制数。</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目标值≤100%；达到目标值得3分，每超出1人扣0.1分，扣完为止。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color w:val="auto"/>
          <w:sz w:val="28"/>
          <w:szCs w:val="28"/>
        </w:rPr>
        <w:t>超出</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人，扣0.</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0分，本指标评价得2.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中国人民政治协商会议察隅县委员会办公室</w:t>
      </w:r>
      <w:r>
        <w:rPr>
          <w:rFonts w:hint="eastAsia" w:ascii="仿宋_GB2312" w:hAnsi="仿宋_GB2312" w:eastAsia="仿宋_GB2312" w:cs="仿宋_GB2312"/>
          <w:color w:val="auto"/>
          <w:sz w:val="28"/>
          <w:szCs w:val="28"/>
          <w:highlight w:val="none"/>
        </w:rPr>
        <w:t>职能配置和人员编制规定》</w:t>
      </w:r>
      <w:r>
        <w:rPr>
          <w:rFonts w:hint="eastAsia" w:ascii="仿宋_GB2312" w:hAnsi="仿宋_GB2312" w:eastAsia="仿宋_GB2312" w:cs="仿宋_GB2312"/>
          <w:color w:val="auto"/>
          <w:sz w:val="28"/>
          <w:szCs w:val="28"/>
          <w:highlight w:val="none"/>
          <w:lang w:val="en-US" w:eastAsia="zh-CN"/>
        </w:rPr>
        <w:t>文件规定</w:t>
      </w:r>
      <w:r>
        <w:rPr>
          <w:rFonts w:hint="eastAsia" w:ascii="仿宋_GB2312" w:hAnsi="仿宋_GB2312" w:eastAsia="仿宋_GB2312" w:cs="仿宋_GB2312"/>
          <w:color w:val="auto"/>
          <w:sz w:val="28"/>
          <w:szCs w:val="28"/>
          <w:highlight w:val="none"/>
        </w:rPr>
        <w:t>编制人</w:t>
      </w:r>
      <w:r>
        <w:rPr>
          <w:rFonts w:hint="eastAsia" w:ascii="仿宋_GB2312" w:hAnsi="仿宋_GB2312" w:eastAsia="仿宋_GB2312" w:cs="仿宋_GB2312"/>
          <w:color w:val="auto"/>
          <w:sz w:val="28"/>
          <w:szCs w:val="28"/>
          <w:highlight w:val="none"/>
          <w:lang w:val="en-US" w:eastAsia="zh-CN"/>
        </w:rPr>
        <w:t>员6</w:t>
      </w:r>
      <w:r>
        <w:rPr>
          <w:rFonts w:hint="eastAsia" w:ascii="仿宋_GB2312" w:hAnsi="仿宋_GB2312" w:eastAsia="仿宋_GB2312" w:cs="仿宋_GB2312"/>
          <w:color w:val="auto"/>
          <w:sz w:val="28"/>
          <w:szCs w:val="28"/>
          <w:highlight w:val="none"/>
        </w:rPr>
        <w:t>人，实</w:t>
      </w:r>
      <w:r>
        <w:rPr>
          <w:rFonts w:hint="eastAsia" w:ascii="仿宋_GB2312" w:hAnsi="仿宋_GB2312" w:eastAsia="仿宋_GB2312" w:cs="仿宋_GB2312"/>
          <w:color w:val="auto"/>
          <w:sz w:val="28"/>
          <w:szCs w:val="28"/>
          <w:highlight w:val="none"/>
          <w:lang w:val="en-US" w:eastAsia="zh-CN"/>
        </w:rPr>
        <w:t>有</w:t>
      </w:r>
      <w:r>
        <w:rPr>
          <w:rFonts w:hint="eastAsia" w:ascii="仿宋_GB2312" w:hAnsi="仿宋_GB2312" w:eastAsia="仿宋_GB2312" w:cs="仿宋_GB2312"/>
          <w:color w:val="auto"/>
          <w:sz w:val="28"/>
          <w:szCs w:val="28"/>
          <w:highlight w:val="none"/>
        </w:rPr>
        <w:t>人员</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人，在职人员控制率=</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×100%=</w:t>
      </w:r>
      <w:r>
        <w:rPr>
          <w:rFonts w:hint="eastAsia" w:ascii="仿宋_GB2312" w:hAnsi="仿宋_GB2312" w:eastAsia="仿宋_GB2312" w:cs="仿宋_GB2312"/>
          <w:color w:val="auto"/>
          <w:sz w:val="28"/>
          <w:szCs w:val="28"/>
          <w:highlight w:val="none"/>
          <w:lang w:val="en-US" w:eastAsia="zh-CN"/>
        </w:rPr>
        <w:t>200</w:t>
      </w:r>
      <w:r>
        <w:rPr>
          <w:rFonts w:hint="eastAsia" w:ascii="仿宋_GB2312" w:hAnsi="仿宋_GB2312" w:eastAsia="仿宋_GB2312" w:cs="仿宋_GB2312"/>
          <w:color w:val="auto"/>
          <w:sz w:val="28"/>
          <w:szCs w:val="28"/>
          <w:highlight w:val="none"/>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2.2“三公经费”变动率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部门本年度“三公经费”预算数与上年度“三公经费”预算数的变动比率，用以反映和考核部门对控制重点行政成本的努力程度。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“三公经费”变动率=〔（本年度“三公经费”总额-上年度“三公经费”总额）/上年度“三公经费”总额〕×100%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“三公经费”：年度预算安排的因公出国（境）费、公务车辆购置及运行费和公务招待费。</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目标值≤0；达到目标值得4分，未达到目标值的采用比率扣分法：扣分值=“三公经费”变动率×4×10，变动率达10%以上的扣4分。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color w:val="auto"/>
          <w:sz w:val="28"/>
          <w:szCs w:val="28"/>
        </w:rPr>
        <w:t>三公经费</w:t>
      </w:r>
      <w:r>
        <w:rPr>
          <w:rFonts w:hint="eastAsia" w:ascii="仿宋_GB2312" w:hAnsi="仿宋_GB2312" w:eastAsia="仿宋_GB2312" w:cs="仿宋_GB2312"/>
          <w:color w:val="auto"/>
          <w:sz w:val="28"/>
          <w:szCs w:val="28"/>
          <w:lang w:val="en-US" w:eastAsia="zh-CN"/>
        </w:rPr>
        <w:t>变动率为241.18%，</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0.00</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eastAsia="zh-CN"/>
        </w:rPr>
        <w:t>察隅县政协办</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年度三公经费数为</w:t>
      </w:r>
      <w:r>
        <w:rPr>
          <w:rFonts w:hint="eastAsia" w:ascii="仿宋_GB2312" w:hAnsi="仿宋_GB2312" w:eastAsia="仿宋_GB2312" w:cs="仿宋_GB2312"/>
          <w:color w:val="auto"/>
          <w:sz w:val="28"/>
          <w:szCs w:val="28"/>
          <w:lang w:val="en-US" w:eastAsia="zh-CN"/>
        </w:rPr>
        <w:t>15,300.00</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2021年</w:t>
      </w:r>
      <w:r>
        <w:rPr>
          <w:rFonts w:hint="eastAsia" w:ascii="仿宋_GB2312" w:hAnsi="仿宋_GB2312" w:eastAsia="仿宋_GB2312" w:cs="仿宋_GB2312"/>
          <w:color w:val="auto"/>
          <w:sz w:val="28"/>
          <w:szCs w:val="28"/>
        </w:rPr>
        <w:t>三公经费为</w:t>
      </w:r>
      <w:r>
        <w:rPr>
          <w:rFonts w:hint="eastAsia" w:ascii="仿宋_GB2312" w:hAnsi="仿宋_GB2312" w:eastAsia="仿宋_GB2312" w:cs="仿宋_GB2312"/>
          <w:color w:val="auto"/>
          <w:sz w:val="28"/>
          <w:szCs w:val="28"/>
          <w:lang w:val="en-US" w:eastAsia="zh-CN"/>
        </w:rPr>
        <w:t>36,900.00</w:t>
      </w:r>
      <w:r>
        <w:rPr>
          <w:rFonts w:hint="eastAsia" w:ascii="仿宋_GB2312" w:hAnsi="仿宋_GB2312" w:eastAsia="仿宋_GB2312" w:cs="仿宋_GB2312"/>
          <w:color w:val="auto"/>
          <w:sz w:val="28"/>
          <w:szCs w:val="28"/>
        </w:rPr>
        <w:t>元,“三公经费”变动率</w:t>
      </w:r>
      <w:r>
        <w:rPr>
          <w:rFonts w:hint="eastAsia" w:ascii="仿宋_GB2312" w:hAnsi="仿宋_GB2312" w:eastAsia="仿宋_GB2312" w:cs="仿宋_GB2312"/>
          <w:color w:val="auto"/>
          <w:sz w:val="28"/>
          <w:szCs w:val="28"/>
          <w:lang w:val="en-US" w:eastAsia="zh-CN"/>
        </w:rPr>
        <w:t>=（36900-15300）/15300*100%=241.18%</w:t>
      </w:r>
      <w:r>
        <w:rPr>
          <w:rFonts w:hint="eastAsia" w:ascii="仿宋_GB2312" w:hAnsi="仿宋_GB2312" w:eastAsia="仿宋_GB2312" w:cs="仿宋_GB2312"/>
          <w:color w:val="auto"/>
          <w:sz w:val="28"/>
          <w:szCs w:val="28"/>
          <w:lang w:eastAsia="zh-CN"/>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2.3重点支出安排率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部门（单位）本年度预算安排的重点项目支出与部门项目总支出的比率，用以反映和考核部门（单位）对履行主要职责或完成重点任务的保障程度。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重点支出安排率=（重点项目支出/项目总支出）×100%。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重点项目支出：部门（单位）年度预算安排，与本部门履职和发展密切相关、具有明显社会和经济影响、党委政府关心或社会比较关注的项目支出总额。具体由被评价部门提出后经对口部门预算管理处审核确定。</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项目总支出：部门（单位）年度预算安排的项目支出总额。</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目标值≥70%；以3分为上限，采用完成比率法计分：得分=重点支出安排率/70%×100%×3，超出目标值不加分。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color w:val="auto"/>
          <w:sz w:val="28"/>
          <w:szCs w:val="28"/>
          <w:highlight w:val="none"/>
          <w:lang w:eastAsia="zh-CN"/>
        </w:rPr>
        <w:t>重点支出安排率</w:t>
      </w:r>
      <w:r>
        <w:rPr>
          <w:rFonts w:hint="eastAsia" w:ascii="仿宋_GB2312" w:hAnsi="仿宋_GB2312" w:eastAsia="仿宋_GB2312" w:cs="仿宋_GB2312"/>
          <w:color w:val="auto"/>
          <w:sz w:val="28"/>
          <w:szCs w:val="28"/>
          <w:highlight w:val="none"/>
          <w:lang w:val="en-US" w:eastAsia="zh-CN"/>
        </w:rPr>
        <w:t>100.00%</w:t>
      </w:r>
      <w:r>
        <w:rPr>
          <w:rFonts w:hint="eastAsia" w:ascii="仿宋_GB2312" w:hAnsi="仿宋_GB2312" w:eastAsia="仿宋_GB2312" w:cs="仿宋_GB2312"/>
          <w:b w:val="0"/>
          <w:bCs/>
          <w:color w:val="auto"/>
          <w:sz w:val="28"/>
          <w:szCs w:val="28"/>
          <w:highlight w:val="none"/>
          <w:lang w:val="en-US" w:eastAsia="zh-CN"/>
        </w:rPr>
        <w:t>，本指标评价得3分。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color w:val="auto"/>
          <w:sz w:val="28"/>
          <w:szCs w:val="28"/>
          <w:highlight w:val="none"/>
          <w:lang w:eastAsia="zh-CN"/>
        </w:rPr>
        <w:t>察隅县政协办2021年项目预算总支出30,000.00元，2021年安排委员视察等重点项目支出30,000.00元，重点支出安排率=（30000/30000）×100%=100.00%。</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bCs/>
          <w:color w:val="auto"/>
          <w:sz w:val="28"/>
          <w:szCs w:val="28"/>
        </w:rPr>
      </w:pPr>
      <w:bookmarkStart w:id="19" w:name="_Toc24779"/>
      <w:bookmarkStart w:id="20" w:name="_Toc48593811"/>
      <w:r>
        <w:rPr>
          <w:rFonts w:hint="eastAsia" w:ascii="楷体" w:hAnsi="楷体" w:eastAsia="楷体" w:cs="楷体"/>
          <w:b/>
          <w:bCs/>
          <w:color w:val="auto"/>
          <w:sz w:val="28"/>
          <w:szCs w:val="28"/>
        </w:rPr>
        <w:t>（二）过程</w:t>
      </w:r>
      <w:bookmarkEnd w:id="19"/>
      <w:bookmarkEnd w:id="20"/>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1预算执行</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1.1预算完成率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通过对部门本年度预算完成数与预算数的比较，反映和评价部门预算的完成程度。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评分要点：预算完成率=（预算完成数/预算数）×100%。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（1）目标值≥100%；达到目标值的得6分；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（2）100%＞结果≥90%，得4分；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（3）90%＞结果≥80%，得2分；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（4）结果＜80%，得0分。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预算完成率</w:t>
      </w:r>
      <w:r>
        <w:rPr>
          <w:rFonts w:hint="eastAsia" w:ascii="仿宋_GB2312" w:hAnsi="仿宋_GB2312" w:eastAsia="仿宋_GB2312" w:cs="仿宋_GB2312"/>
          <w:color w:val="auto"/>
          <w:sz w:val="28"/>
          <w:szCs w:val="28"/>
          <w:lang w:val="en-US" w:eastAsia="zh-CN"/>
        </w:rPr>
        <w:t>为78.08</w:t>
      </w:r>
      <w:r>
        <w:rPr>
          <w:rFonts w:hint="eastAsia" w:ascii="仿宋_GB2312" w:hAnsi="仿宋_GB2312" w:eastAsia="仿宋_GB2312" w:cs="仿宋_GB2312"/>
          <w:color w:val="auto"/>
          <w:kern w:val="0"/>
          <w:sz w:val="28"/>
          <w:szCs w:val="28"/>
          <w:lang w:bidi="ar"/>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本指标评价</w:t>
      </w: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eastAsia="zh-CN"/>
        </w:rPr>
        <w:t>察隅县政协办2021年支出决算金额2,258,493.74元，年初预算数为2,891,400.00元，预算完成率=2258493.74/2891400×100%=78.11%，</w:t>
      </w:r>
      <w:r>
        <w:rPr>
          <w:rFonts w:hint="eastAsia" w:ascii="仿宋_GB2312" w:hAnsi="仿宋_GB2312" w:eastAsia="仿宋_GB2312" w:cs="仿宋_GB2312"/>
          <w:color w:val="auto"/>
          <w:sz w:val="28"/>
          <w:szCs w:val="28"/>
          <w:lang w:val="en-US" w:eastAsia="zh-CN"/>
        </w:rPr>
        <w:t>小于</w:t>
      </w:r>
      <w:r>
        <w:rPr>
          <w:rFonts w:hint="eastAsia" w:ascii="仿宋_GB2312" w:hAnsi="仿宋_GB2312" w:eastAsia="仿宋_GB2312" w:cs="仿宋_GB2312"/>
          <w:color w:val="auto"/>
          <w:sz w:val="28"/>
          <w:szCs w:val="28"/>
        </w:rPr>
        <w:t>80%</w:t>
      </w:r>
      <w:r>
        <w:rPr>
          <w:rFonts w:hint="eastAsia" w:ascii="仿宋_GB2312" w:hAnsi="仿宋_GB2312" w:eastAsia="仿宋_GB2312" w:cs="仿宋_GB2312"/>
          <w:color w:val="auto"/>
          <w:sz w:val="28"/>
          <w:szCs w:val="28"/>
          <w:lang w:eastAsia="zh-CN"/>
        </w:rPr>
        <w:t>，扣</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1.2预算调整率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该指标通过部门本年度预算调整数与预算数的比率，反映和评价部门预算的调整程度。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评分要点：预算调整率=（预算调整数/预算数）×100%。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lang w:eastAsia="zh-CN"/>
        </w:rPr>
        <w:t>目标值为10%；达到或低于目标值得3分，未达到目标值的每增加0.1个百分点扣0.1分，扣完为止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预算调整率</w:t>
      </w:r>
      <w:r>
        <w:rPr>
          <w:rFonts w:hint="eastAsia" w:ascii="仿宋_GB2312" w:hAnsi="仿宋_GB2312" w:eastAsia="仿宋_GB2312" w:cs="仿宋_GB2312"/>
          <w:color w:val="auto"/>
          <w:sz w:val="28"/>
          <w:szCs w:val="28"/>
          <w:lang w:val="en-US" w:eastAsia="zh-CN"/>
        </w:rPr>
        <w:t>21.92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w:t>
      </w:r>
      <w:r>
        <w:rPr>
          <w:rFonts w:hint="eastAsia" w:ascii="仿宋_GB2312" w:hAnsi="仿宋_GB2312" w:eastAsia="仿宋_GB2312" w:cs="仿宋_GB2312"/>
          <w:color w:val="auto"/>
          <w:sz w:val="28"/>
          <w:szCs w:val="28"/>
        </w:rPr>
        <w:t>评价得分</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察隅县政协办2021年年初预算数为2,891,400.00元，后调整至2,258,493.74元，预算调整金额为632,906.26元，预算调整率=632906.26/2891400×100%=21.89%</w:t>
      </w:r>
      <w:r>
        <w:rPr>
          <w:rFonts w:hint="eastAsia" w:ascii="仿宋_GB2312" w:hAnsi="仿宋_GB2312" w:eastAsia="仿宋_GB2312" w:cs="仿宋_GB2312"/>
          <w:color w:val="auto"/>
          <w:sz w:val="28"/>
          <w:szCs w:val="28"/>
          <w:lang w:eastAsia="zh-CN"/>
        </w:rPr>
        <w:t>，超过13.00%，扣3分。</w:t>
      </w:r>
      <w:r>
        <w:rPr>
          <w:rFonts w:hint="eastAsia" w:ascii="仿宋_GB2312" w:hAnsi="仿宋_GB2312" w:eastAsia="仿宋_GB2312" w:cs="仿宋_GB2312"/>
          <w:color w:val="auto"/>
          <w:sz w:val="28"/>
          <w:szCs w:val="28"/>
        </w:rPr>
        <w:tab/>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1.3支付进度率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部门年度支付数与年度预算（调整）数的比率，用以反映和评价部门预算执行的及时和均衡程度。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全年支付进度=部门全年实际支出÷（上年结余结转+本年部门预算安排+全年执行中追加追减）×100%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2"/>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2"/>
        </w:rPr>
        <w:t>全年进度：结果≥100%，得6分；100%＞结果≥95%，得4分；95%＞结果≥90%，得3分；90%＞结果≥85%，得2分；结果＜85%，得0分。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2"/>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支付</w:t>
      </w:r>
      <w:r>
        <w:rPr>
          <w:rFonts w:hint="eastAsia" w:ascii="仿宋_GB2312" w:hAnsi="仿宋_GB2312" w:eastAsia="仿宋_GB2312" w:cs="仿宋_GB2312"/>
          <w:b w:val="0"/>
          <w:bCs w:val="0"/>
          <w:color w:val="auto"/>
          <w:sz w:val="28"/>
          <w:szCs w:val="22"/>
        </w:rPr>
        <w:t>进度</w:t>
      </w:r>
      <w:r>
        <w:rPr>
          <w:rFonts w:hint="eastAsia" w:ascii="仿宋_GB2312" w:hAnsi="仿宋_GB2312" w:eastAsia="仿宋_GB2312" w:cs="仿宋_GB2312"/>
          <w:b w:val="0"/>
          <w:bCs w:val="0"/>
          <w:color w:val="auto"/>
          <w:sz w:val="28"/>
          <w:szCs w:val="22"/>
          <w:lang w:val="en-US" w:eastAsia="zh-CN"/>
        </w:rPr>
        <w:t>率</w:t>
      </w:r>
      <w:r>
        <w:rPr>
          <w:rFonts w:hint="eastAsia" w:ascii="仿宋_GB2312" w:hAnsi="仿宋_GB2312" w:eastAsia="仿宋_GB2312" w:cs="仿宋_GB2312"/>
          <w:b w:val="0"/>
          <w:bCs w:val="0"/>
          <w:color w:val="auto"/>
          <w:sz w:val="28"/>
          <w:szCs w:val="28"/>
        </w:rPr>
        <w:t>为</w:t>
      </w:r>
      <w:r>
        <w:rPr>
          <w:rFonts w:hint="eastAsia" w:ascii="仿宋_GB2312" w:hAnsi="仿宋_GB2312" w:eastAsia="仿宋_GB2312" w:cs="仿宋_GB2312"/>
          <w:b w:val="0"/>
          <w:bCs w:val="0"/>
          <w:color w:val="auto"/>
          <w:sz w:val="28"/>
          <w:szCs w:val="28"/>
          <w:lang w:val="en-US" w:eastAsia="zh-CN"/>
        </w:rPr>
        <w:t>10</w:t>
      </w:r>
      <w:r>
        <w:rPr>
          <w:rFonts w:hint="eastAsia" w:ascii="仿宋_GB2312" w:hAnsi="仿宋_GB2312" w:eastAsia="仿宋_GB2312" w:cs="仿宋_GB2312"/>
          <w:b w:val="0"/>
          <w:bCs w:val="0"/>
          <w:color w:val="auto"/>
          <w:sz w:val="28"/>
          <w:szCs w:val="28"/>
        </w:rPr>
        <w:t>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w:t>
      </w:r>
      <w:r>
        <w:rPr>
          <w:rFonts w:hint="eastAsia" w:ascii="仿宋_GB2312" w:hAnsi="仿宋_GB2312" w:eastAsia="仿宋_GB2312" w:cs="仿宋_GB2312"/>
          <w:color w:val="auto"/>
          <w:sz w:val="28"/>
          <w:szCs w:val="28"/>
        </w:rPr>
        <w:t>评价得分</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kern w:val="0"/>
          <w:sz w:val="28"/>
          <w:szCs w:val="28"/>
          <w:highlight w:val="yellow"/>
          <w:lang w:bidi="ar"/>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察隅县政协办</w:t>
      </w:r>
      <w:r>
        <w:rPr>
          <w:rFonts w:hint="eastAsia" w:ascii="仿宋_GB2312" w:hAnsi="仿宋_GB2312" w:eastAsia="仿宋_GB2312" w:cs="仿宋_GB2312"/>
          <w:color w:val="auto"/>
          <w:sz w:val="28"/>
          <w:szCs w:val="28"/>
          <w:lang w:eastAsia="zh-CN"/>
        </w:rPr>
        <w:t>2020年结转结余1,080.00元，2021年预算调整后金额为2,257,413.74元，2021年实际支出为2,258,493.74元，因此支付进度率=2258493.74/（1080+2257413.74）×100%=100.00%。</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1.4结转结余率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通过对部门本年度结转结余总额与支出预算数的比较，反映和评价部门对本年度结转结余资金的实际控制程度。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结转结余率=（结转结余总额/支出预算数）×100%。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目标值为0；达到目标值得3分，未达到目标值的每增加0.1个百分点扣0.1分，扣完为止。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结转结余率</w:t>
      </w:r>
      <w:r>
        <w:rPr>
          <w:rFonts w:hint="eastAsia" w:ascii="仿宋_GB2312" w:hAnsi="仿宋_GB2312" w:eastAsia="仿宋_GB2312" w:cs="仿宋_GB2312"/>
          <w:color w:val="auto"/>
          <w:sz w:val="28"/>
          <w:szCs w:val="28"/>
          <w:lang w:val="en-US" w:eastAsia="zh-CN"/>
        </w:rPr>
        <w:t>为0.00%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指标评价得分</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察隅县政协办</w:t>
      </w:r>
      <w:r>
        <w:rPr>
          <w:rFonts w:hint="eastAsia" w:ascii="仿宋_GB2312" w:hAnsi="仿宋_GB2312" w:eastAsia="仿宋_GB2312" w:cs="仿宋_GB2312"/>
          <w:color w:val="auto"/>
          <w:sz w:val="28"/>
          <w:szCs w:val="28"/>
          <w:lang w:eastAsia="zh-CN"/>
        </w:rPr>
        <w:t>2021年无结转结余，结转结余率为0.00%。</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1.5结转结余变动率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部门本年度结转结余资金总额与上年度结转结余资金总额的变动比率，用以反映和考核部门对控制结转结余资金的努力程度。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结转结余变动率=〔（本年度累计结转结余资金总额-上年度累计结转结余资金总额）/上年度累计结转结余资金总额〕×100%。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目标值为≤0%；达到目标值得3分，未达到目标值的采用比率扣分法：扣分值=结转结余变动率×3×10，变动率达10%以上的扣3分。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结转结余变动率为</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%，本指标评价得3分。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察隅县政协办2020年结余结转额1,080.00元，2021年结余结转额0.00元，结转结余变动率=((0-1080)/1080)*100%=-100%。</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1.6公用经费控制率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通过对部门本年度实际支出的公用经费总额与预算安排的公用经费总额的比率，反映和评价部门对机构运转成本的实际控制程度。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公用经费控制率=（实际支出公用经费总额/预算安排公用经费总额）×100%。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目标值为≤100%；达到目标值得3分，未达到目标值的每增加0.1个百分点扣0.1分，扣完为止。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公用经费控制率为</w:t>
      </w:r>
      <w:r>
        <w:rPr>
          <w:rFonts w:hint="eastAsia" w:ascii="仿宋_GB2312" w:hAnsi="仿宋_GB2312" w:eastAsia="仿宋_GB2312" w:cs="仿宋_GB2312"/>
          <w:color w:val="auto"/>
          <w:sz w:val="28"/>
          <w:szCs w:val="28"/>
          <w:lang w:val="en-US" w:eastAsia="zh-CN"/>
        </w:rPr>
        <w:t>63.76</w:t>
      </w:r>
      <w:r>
        <w:rPr>
          <w:rFonts w:hint="eastAsia" w:ascii="仿宋_GB2312" w:hAnsi="仿宋_GB2312" w:eastAsia="仿宋_GB2312" w:cs="仿宋_GB2312"/>
          <w:color w:val="auto"/>
          <w:sz w:val="28"/>
          <w:szCs w:val="28"/>
        </w:rPr>
        <w:t>%，本指标</w:t>
      </w:r>
      <w:r>
        <w:rPr>
          <w:rFonts w:hint="eastAsia" w:ascii="仿宋_GB2312" w:hAnsi="仿宋_GB2312" w:eastAsia="仿宋_GB2312" w:cs="仿宋_GB2312"/>
          <w:color w:val="auto"/>
          <w:sz w:val="28"/>
          <w:szCs w:val="28"/>
          <w:lang w:val="en-US" w:eastAsia="zh-CN"/>
        </w:rPr>
        <w:t>评价</w:t>
      </w:r>
      <w:r>
        <w:rPr>
          <w:rFonts w:hint="eastAsia" w:ascii="仿宋_GB2312" w:hAnsi="仿宋_GB2312" w:eastAsia="仿宋_GB2312" w:cs="仿宋_GB2312"/>
          <w:color w:val="auto"/>
          <w:sz w:val="28"/>
          <w:szCs w:val="28"/>
        </w:rPr>
        <w:t>得分3分。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察隅县政协办2021年实际公用经费支出179,408.14元，预算安排公用经费281,400.00元，公用经费控制率=179408.14/281400×100%=63.76%。</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1.7“三公经费”控制率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部门（单位）本年度“三公经费”实际支出数与预算安排数的比率，用以反映和考核部门（单位）对“三公经费”的实际控制程度。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“三公经费”控制率=（“三公经费”实际支出/“三公经费”预算安排数）×100%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目标值为≤100%；达到目标值得3分，未达到目标值的每增加0.1个百分点扣0.1分，扣完为止。</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三公经费控制率为0.00%</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察隅县政协办2021年“三公经费”预算数</w:t>
      </w:r>
      <w:r>
        <w:rPr>
          <w:rFonts w:hint="eastAsia" w:ascii="仿宋_GB2312" w:hAnsi="仿宋_GB2312" w:eastAsia="仿宋_GB2312" w:cs="仿宋_GB2312"/>
          <w:color w:val="auto"/>
          <w:sz w:val="28"/>
          <w:szCs w:val="28"/>
          <w:lang w:val="en-US" w:eastAsia="zh-CN"/>
        </w:rPr>
        <w:t>36,900</w:t>
      </w:r>
      <w:r>
        <w:rPr>
          <w:rFonts w:hint="eastAsia" w:ascii="仿宋_GB2312" w:hAnsi="仿宋_GB2312" w:eastAsia="仿宋_GB2312" w:cs="仿宋_GB2312"/>
          <w:color w:val="auto"/>
          <w:sz w:val="28"/>
          <w:szCs w:val="28"/>
          <w:lang w:eastAsia="zh-CN"/>
        </w:rPr>
        <w:t>.00元，实际支出数</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.00元，“三公经费”控制率</w:t>
      </w:r>
      <w:r>
        <w:rPr>
          <w:rFonts w:hint="eastAsia" w:ascii="仿宋_GB2312" w:hAnsi="仿宋_GB2312" w:eastAsia="仿宋_GB2312" w:cs="仿宋_GB2312"/>
          <w:color w:val="auto"/>
          <w:sz w:val="28"/>
          <w:szCs w:val="28"/>
          <w:lang w:val="en-US" w:eastAsia="zh-CN"/>
        </w:rPr>
        <w:t>0.00</w:t>
      </w:r>
      <w:r>
        <w:rPr>
          <w:rFonts w:hint="eastAsia" w:ascii="仿宋_GB2312" w:hAnsi="仿宋_GB2312" w:eastAsia="仿宋_GB2312" w:cs="仿宋_GB2312"/>
          <w:color w:val="auto"/>
          <w:sz w:val="28"/>
          <w:szCs w:val="28"/>
          <w:lang w:eastAsia="zh-CN"/>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1.8政府采购执行率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通过对部门本年度实际政府采购预算项目个数与政府采购预算项目个数的比较，反映和评价部门政府采购预算执行情况。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政府采购执行率=（实际政府采购预算项目个数/政府采购预算项目个数）×100%。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政府采购项目中非预算内安排的项目除外。</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目标值为100%；以3分为上限，采用完成比率法计分：得分=政府采购执行率×3。</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政府</w:t>
      </w:r>
      <w:r>
        <w:rPr>
          <w:rFonts w:hint="eastAsia" w:ascii="仿宋_GB2312" w:hAnsi="仿宋_GB2312" w:eastAsia="仿宋_GB2312" w:cs="仿宋_GB2312"/>
          <w:color w:val="auto"/>
          <w:sz w:val="28"/>
          <w:szCs w:val="28"/>
        </w:rPr>
        <w:t>采购</w:t>
      </w:r>
      <w:r>
        <w:rPr>
          <w:rFonts w:hint="eastAsia" w:ascii="仿宋_GB2312" w:hAnsi="仿宋_GB2312" w:eastAsia="仿宋_GB2312" w:cs="仿宋_GB2312"/>
          <w:color w:val="auto"/>
          <w:sz w:val="28"/>
          <w:szCs w:val="28"/>
          <w:lang w:val="en-US" w:eastAsia="zh-CN"/>
        </w:rPr>
        <w:t>执行率100%</w:t>
      </w:r>
      <w:r>
        <w:rPr>
          <w:rFonts w:hint="eastAsia" w:ascii="仿宋_GB2312" w:hAnsi="仿宋_GB2312" w:eastAsia="仿宋_GB2312" w:cs="仿宋_GB2312"/>
          <w:color w:val="auto"/>
          <w:sz w:val="28"/>
          <w:szCs w:val="28"/>
        </w:rPr>
        <w:t>，本指标评价得</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察隅县政协办2021年实际政府采购预算项目0个，政府采购预算项目1个。</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2.预算管理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2.1管理制度健全性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部门为加强预算管理，规范财务行为而制定的管理制度是否健全完整，用以反映和考核部门预算管理制度对完成主要职责或促进事业发展的保障情况。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1．是否已制定或具有预算资金管理办法、内部财务管理制度、会计核算制度等管理制度；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2.相关管理制度是否合法、合规、完整；</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3.相关管理制度是否得到有效执行。</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全部符合（2分）；符合其中两项（1分）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符合其中一项及以下（0分）。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指标评价得2分。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lang w:val="en-US" w:eastAsia="zh-CN"/>
        </w:rPr>
        <w:t>由财政局核算中心核算，内部控制工作皆由财政局协助管理，相关管理制度合法、合规、完整且得到有效执行。</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2.2资金使用合规性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部门使用预算资金是否符合相关的预算财务管理制度的规定，反映和评价部门预算资金的规范运行情况。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1.符合国家财经法规和财务管理制度规定以及有关部门资金管理办法的规定；</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2.资金的拨付有完整的审批过程和手续；</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3.项目的重大开支经过评估论证；</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4.符合部门预算批复的用途；</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5.不存在截留情况；</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6.不存在挤占情况；</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7.不存在挪用情况；</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8.不存在虚列支出情况。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全部符合（6分）；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符合其中七项（5分）；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符合其中六项（3分）；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符合其中五项（2分）；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符合其中四项及以下（0分）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符合其中七项，本指标得分5分。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highlight w:val="none"/>
        </w:rPr>
        <w:t>执行县财政局制定的符合国家财经法规的财务管理制度，查阅相关会计凭证未发现违反国家财经法规和财务管理制度规定或截留、挤占、挪用、虚列支出的情形，资金拨付审批过程和手续完整，资金使用合规，但存在</w:t>
      </w:r>
      <w:r>
        <w:rPr>
          <w:rFonts w:hint="eastAsia" w:ascii="仿宋_GB2312" w:hAnsi="仿宋_GB2312" w:eastAsia="仿宋_GB2312" w:cs="仿宋_GB2312"/>
          <w:color w:val="auto"/>
          <w:sz w:val="28"/>
          <w:szCs w:val="28"/>
          <w:highlight w:val="none"/>
          <w:lang w:val="en-US" w:eastAsia="zh-CN"/>
        </w:rPr>
        <w:t>发放慰问金超标准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购置办公设备超标准支出</w:t>
      </w:r>
      <w:r>
        <w:rPr>
          <w:rFonts w:hint="eastAsia" w:ascii="仿宋_GB2312" w:hAnsi="仿宋_GB2312" w:eastAsia="仿宋_GB2312" w:cs="仿宋_GB2312"/>
          <w:color w:val="auto"/>
          <w:sz w:val="28"/>
          <w:szCs w:val="28"/>
          <w:highlight w:val="none"/>
        </w:rPr>
        <w:t>的情况，</w:t>
      </w:r>
      <w:r>
        <w:rPr>
          <w:rFonts w:hint="eastAsia" w:ascii="仿宋_GB2312" w:hAnsi="仿宋_GB2312" w:eastAsia="仿宋_GB2312" w:cs="仿宋_GB2312"/>
          <w:color w:val="auto"/>
          <w:sz w:val="28"/>
          <w:szCs w:val="28"/>
          <w:highlight w:val="none"/>
          <w:lang w:val="en-US" w:eastAsia="zh-CN"/>
        </w:rPr>
        <w:t>涉及资金2,150.00元，</w:t>
      </w:r>
      <w:r>
        <w:rPr>
          <w:rFonts w:hint="eastAsia" w:ascii="仿宋_GB2312" w:hAnsi="仿宋_GB2312" w:eastAsia="仿宋_GB2312" w:cs="仿宋_GB2312"/>
          <w:color w:val="auto"/>
          <w:sz w:val="28"/>
          <w:szCs w:val="28"/>
          <w:highlight w:val="none"/>
        </w:rPr>
        <w:t>扣1分。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2.3预决算信息公开性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部门是否按照政府信息公开有关规定公开相关预决算信息，用以反映和评价部门预决算管理的公开透明情况。</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预决算信息是指与部门预算、执行、决算、监督、绩效等管理相关的信息。</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1.公开预决算信息；</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2.按规定内容公开预决算信息；</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3.按规定时限公开预决算信息。</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全部符合，得3分；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财政局统一公开</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察隅县政协办按照规定内容和时限公开了2021年预算资料，决算信息由财政局统一公开</w:t>
      </w:r>
      <w:r>
        <w:rPr>
          <w:rFonts w:hint="eastAsia" w:ascii="仿宋_GB2312" w:hAnsi="仿宋_GB2312" w:eastAsia="仿宋_GB2312" w:cs="仿宋_GB2312"/>
          <w:color w:val="auto"/>
          <w:sz w:val="28"/>
          <w:szCs w:val="28"/>
          <w:highlight w:val="none"/>
          <w:lang w:eastAsia="zh-CN"/>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2.4基础信息完善性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部门基础信息是否完善，用以反映和评价基础信息对预算管理工作的支撑情况。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1.基本财务管理制度健全；</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2.基础数据信息和会计信息资料真实；</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3.基础数据信息和会计信息资料完整；</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4.基础数据信息和会计信息资料准确。</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符合全部四项，得4分；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符合其中三项，得2分；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符合其中两项，得1分；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全部符合，本指标评价得</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察隅县政协办财务由财政局核算中心核算，财务管理制度工作皆由财政局协助管理，基础数据信息和会计信息资料真实、完整、准确。</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3资产管理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3.1管理制度健全性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部门为加强资产管理、规范资产管理行为而制定的管理制度是否健全完整，用以反映和考核部门资产管理制度对完成主要职责或促进社会发展的保障情况。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1.是否已制定或具有资产管理制度；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2.相关资金管理制度是否合法、合规、完整；</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3.相关资产管理制度是否得到有效执行。</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符合其中两项，得1分；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符合两项评价要点，本指标得分2分。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未制定资产管理制度，按照《西藏自治区财政厅关于印发&lt;西藏自治区行政事业单位通用资产配备使用管理办法（试行）&gt;的通知》（藏财资〔2014〕7号）、《察隅县财政资金管理办法》（察政发〔2019〕82号）等文件执行。</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3.2资产管理完全性</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部门的资产是否保存完整、使用合规、收入及时足额上缴，用以反映和评价部门资产运行情况。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1.资产保存完整；</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2.资产账务管理是否合规，</w:t>
      </w:r>
      <w:r>
        <w:rPr>
          <w:rFonts w:hint="eastAsia" w:ascii="仿宋_GB2312" w:hAnsi="仿宋_GB2312" w:eastAsia="仿宋_GB2312" w:cs="仿宋_GB2312"/>
          <w:color w:val="auto"/>
          <w:sz w:val="28"/>
          <w:szCs w:val="28"/>
          <w:lang w:eastAsia="zh-CN"/>
        </w:rPr>
        <w:t>账实相符</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3.资产有偿使用及处置收入及时足额上缴。</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符合全部三项，得3分；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符合其中一项，得1分；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符合零项，得0分。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全部</w:t>
      </w:r>
      <w:r>
        <w:rPr>
          <w:rFonts w:hint="eastAsia" w:ascii="仿宋_GB2312" w:hAnsi="仿宋_GB2312" w:eastAsia="仿宋_GB2312" w:cs="仿宋_GB2312"/>
          <w:b w:val="0"/>
          <w:bCs w:val="0"/>
          <w:color w:val="auto"/>
          <w:sz w:val="28"/>
          <w:szCs w:val="28"/>
        </w:rPr>
        <w:t>符合，本指标</w:t>
      </w:r>
      <w:r>
        <w:rPr>
          <w:rFonts w:hint="eastAsia" w:ascii="仿宋_GB2312" w:hAnsi="仿宋_GB2312" w:eastAsia="仿宋_GB2312" w:cs="仿宋_GB2312"/>
          <w:b w:val="0"/>
          <w:bCs w:val="0"/>
          <w:color w:val="auto"/>
          <w:sz w:val="28"/>
          <w:szCs w:val="28"/>
          <w:lang w:val="en-US" w:eastAsia="zh-CN"/>
        </w:rPr>
        <w:t>评价</w:t>
      </w:r>
      <w:r>
        <w:rPr>
          <w:rFonts w:hint="eastAsia" w:ascii="仿宋_GB2312" w:hAnsi="仿宋_GB2312" w:eastAsia="仿宋_GB2312" w:cs="仿宋_GB2312"/>
          <w:b w:val="0"/>
          <w:bCs w:val="0"/>
          <w:color w:val="auto"/>
          <w:sz w:val="28"/>
          <w:szCs w:val="28"/>
        </w:rPr>
        <w:t>得</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分</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rPr>
        <w:t>经对</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highlight w:val="none"/>
        </w:rPr>
        <w:t>固定资产执行现场盘点、实地走访、查阅相应财务资料等必要程序，未见</w:t>
      </w:r>
      <w:r>
        <w:rPr>
          <w:rFonts w:hint="eastAsia" w:ascii="仿宋_GB2312" w:hAnsi="仿宋_GB2312" w:eastAsia="仿宋_GB2312" w:cs="仿宋_GB2312"/>
          <w:color w:val="auto"/>
          <w:sz w:val="28"/>
          <w:szCs w:val="28"/>
          <w:highlight w:val="none"/>
          <w:lang w:eastAsia="zh-CN"/>
        </w:rPr>
        <w:t>账实不符</w:t>
      </w:r>
      <w:r>
        <w:rPr>
          <w:rFonts w:hint="eastAsia" w:ascii="仿宋_GB2312" w:hAnsi="仿宋_GB2312" w:eastAsia="仿宋_GB2312" w:cs="仿宋_GB2312"/>
          <w:color w:val="auto"/>
          <w:sz w:val="28"/>
          <w:szCs w:val="28"/>
          <w:highlight w:val="none"/>
        </w:rPr>
        <w:t>的情况；</w:t>
      </w:r>
      <w:r>
        <w:rPr>
          <w:rFonts w:hint="eastAsia" w:ascii="仿宋_GB2312" w:hAnsi="仿宋_GB2312" w:eastAsia="仿宋_GB2312" w:cs="仿宋_GB2312"/>
          <w:color w:val="auto"/>
          <w:sz w:val="28"/>
          <w:szCs w:val="28"/>
          <w:highlight w:val="none"/>
          <w:lang w:eastAsia="zh-CN"/>
        </w:rPr>
        <w:t>察隅县政协办</w:t>
      </w:r>
      <w:r>
        <w:rPr>
          <w:rFonts w:hint="eastAsia" w:ascii="仿宋_GB2312" w:hAnsi="仿宋_GB2312" w:eastAsia="仿宋_GB2312" w:cs="仿宋_GB2312"/>
          <w:color w:val="auto"/>
          <w:sz w:val="28"/>
          <w:szCs w:val="28"/>
          <w:highlight w:val="none"/>
        </w:rPr>
        <w:t>不存在资产租赁或处置，不存在应缴未缴国库的国有资产收益。</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3.3固定资产利用率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部门实际在用固定资产总额与所有固定资产总额的比率，用以反映和评价部门固定资产使用效率。</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固定资产利用率=（实际在用固定资产总额/所有固定资产总额）×100%。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目标值为80%；以3分为上限，采用完成比率法计分：得分=固定资产利用率/80%×100%×3，超出目标值不加分。</w:t>
      </w:r>
    </w:p>
    <w:p>
      <w:pPr>
        <w:pageBreakBefore w:val="0"/>
        <w:widowControl w:val="0"/>
        <w:kinsoku/>
        <w:wordWrap/>
        <w:overflowPunct/>
        <w:autoSpaceDE/>
        <w:autoSpaceDN/>
        <w:bidi w:val="0"/>
        <w:adjustRightInd/>
        <w:spacing w:beforeLines="0" w:afterLines="0" w:line="360" w:lineRule="auto"/>
        <w:ind w:firstLine="562"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固定资产利用率100%，</w:t>
      </w:r>
      <w:r>
        <w:rPr>
          <w:rFonts w:hint="eastAsia" w:ascii="仿宋_GB2312" w:hAnsi="仿宋_GB2312" w:eastAsia="仿宋_GB2312" w:cs="仿宋_GB2312"/>
          <w:color w:val="auto"/>
          <w:sz w:val="28"/>
          <w:szCs w:val="28"/>
        </w:rPr>
        <w:t>本指标评价得3分。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经对</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的固定资产执行实地走访、盘点等程序，未见闲置的固定资产，固定资产利用率为100%。</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4预算绩效监控管理</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4.1监控率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部门（单位）纳入绩效监控的项目数量占实际申报绩效目标项目数量的比重，用以反映和考核部门（单位）在项目运行中实施绩效管理的水平和程度。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监控率=实施绩效监控项目数/实际申报绩效目标项目数×100%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目标值为90%；以2分为上限，采用完成比率法计分：得分=监控率×2，超出目标值不加分。</w:t>
      </w:r>
    </w:p>
    <w:p>
      <w:pPr>
        <w:pageBreakBefore w:val="0"/>
        <w:widowControl w:val="0"/>
        <w:kinsoku/>
        <w:wordWrap/>
        <w:overflowPunct/>
        <w:autoSpaceDE/>
        <w:autoSpaceDN/>
        <w:bidi w:val="0"/>
        <w:adjustRightInd/>
        <w:spacing w:beforeLines="0" w:afterLines="0" w:line="360" w:lineRule="auto"/>
        <w:ind w:firstLine="562"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不存在</w:t>
      </w:r>
      <w:r>
        <w:rPr>
          <w:rFonts w:hint="eastAsia" w:ascii="仿宋_GB2312" w:hAnsi="仿宋_GB2312" w:eastAsia="仿宋_GB2312" w:cs="仿宋_GB2312"/>
          <w:color w:val="auto"/>
          <w:sz w:val="28"/>
          <w:szCs w:val="28"/>
        </w:rPr>
        <w:t>需实施绩效监控项目，本指标评价得2分。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2021年度无实际申报绩效项目。</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21" w:name="_Toc5789"/>
      <w:bookmarkStart w:id="22" w:name="_Toc48593812"/>
      <w:r>
        <w:rPr>
          <w:rFonts w:hint="eastAsia" w:ascii="楷体" w:hAnsi="楷体" w:eastAsia="楷体" w:cs="楷体"/>
          <w:color w:val="auto"/>
          <w:sz w:val="28"/>
          <w:szCs w:val="28"/>
        </w:rPr>
        <w:t>（三）产出与效果</w:t>
      </w:r>
      <w:bookmarkEnd w:id="21"/>
      <w:bookmarkEnd w:id="22"/>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1职责履行</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1.1项目实际完成率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部门履行职责而实际完成的项目数与计划完成的项目数的比率，用以反映和评价部门履职任务目标的实现程度。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项目实际完成率=（实际完成项目数/计划完成项目数）×100%。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目标值为100%；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达到目标值得4分；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100%＞结果≥95%，得3分；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95%＞结果≥90%，得2分；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90%＞结果≥85%，得1分；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结果＜85%得0分。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无计划完成项目，本指标评价得4分。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2021年度无计划完成项目。</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1.2项目质量达标率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部门已完成项目中质量达标项目个数占已完成项目个数的比率,用以反映和评价部门履职质量目标的实现程度。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项目质量达标率=（已完成项目中质量达标项目个数/已完成项目个数）×100%。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项目质量达标是指项目决算验收合格。</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目标值100%；以4分为上限，采用完成比率法计分：得分=项目质量达标率×4，≤95%的扣4分。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无计划完成项目，本指标评价得4分。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察隅县政协办2021年</w:t>
      </w:r>
      <w:r>
        <w:rPr>
          <w:rFonts w:hint="eastAsia" w:ascii="仿宋_GB2312" w:hAnsi="仿宋_GB2312" w:eastAsia="仿宋_GB2312" w:cs="仿宋_GB2312"/>
          <w:color w:val="auto"/>
          <w:sz w:val="28"/>
          <w:szCs w:val="28"/>
          <w:lang w:val="en-US" w:eastAsia="zh-CN"/>
        </w:rPr>
        <w:t>无计划完成</w:t>
      </w:r>
      <w:r>
        <w:rPr>
          <w:rFonts w:hint="eastAsia" w:ascii="仿宋_GB2312" w:hAnsi="仿宋_GB2312" w:eastAsia="仿宋_GB2312" w:cs="仿宋_GB2312"/>
          <w:color w:val="auto"/>
          <w:sz w:val="28"/>
          <w:szCs w:val="28"/>
        </w:rPr>
        <w:t>项目。</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1.3重点工作办结率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部门年度重点工作实际完成数与交办或下达数的比率，用以反映部门对重点工作的办理落实程度。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重点工作办结率=（重点工作实际完成数/交办或下达数）×100%。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重点工作是指党委、政府、人大、相关部门交办或下达的工作任务。</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目标值100%；以4分为上限，采用完成比率法计分：得分=重点工作办结率×4，≤90%的扣4分。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：无重点工作安排，本指标评价得4分。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highlight w:val="yellow"/>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根据县</w:t>
      </w:r>
      <w:r>
        <w:rPr>
          <w:rFonts w:hint="eastAsia" w:ascii="仿宋_GB2312" w:hAnsi="仿宋_GB2312" w:eastAsia="仿宋_GB2312" w:cs="仿宋_GB2312"/>
          <w:color w:val="auto"/>
          <w:sz w:val="28"/>
          <w:szCs w:val="28"/>
          <w:lang w:val="en-US" w:eastAsia="zh-CN"/>
        </w:rPr>
        <w:t>党</w:t>
      </w:r>
      <w:r>
        <w:rPr>
          <w:rFonts w:hint="eastAsia" w:ascii="仿宋_GB2312" w:hAnsi="仿宋_GB2312" w:eastAsia="仿宋_GB2312" w:cs="仿宋_GB2312"/>
          <w:color w:val="auto"/>
          <w:sz w:val="28"/>
          <w:szCs w:val="28"/>
        </w:rPr>
        <w:t>委和</w:t>
      </w:r>
      <w:r>
        <w:rPr>
          <w:rFonts w:hint="eastAsia" w:ascii="仿宋_GB2312" w:hAnsi="仿宋_GB2312" w:eastAsia="仿宋_GB2312" w:cs="仿宋_GB2312"/>
          <w:color w:val="auto"/>
          <w:sz w:val="28"/>
          <w:szCs w:val="28"/>
          <w:lang w:val="en-US" w:eastAsia="zh-CN"/>
        </w:rPr>
        <w:t>上级政协</w:t>
      </w:r>
      <w:r>
        <w:rPr>
          <w:rFonts w:hint="eastAsia" w:ascii="仿宋_GB2312" w:hAnsi="仿宋_GB2312" w:eastAsia="仿宋_GB2312" w:cs="仿宋_GB2312"/>
          <w:color w:val="auto"/>
          <w:sz w:val="28"/>
          <w:szCs w:val="28"/>
        </w:rPr>
        <w:t>的安排制定全年工作要点并开展活动，2021年度无党委、政府、</w:t>
      </w:r>
      <w:r>
        <w:rPr>
          <w:rFonts w:hint="eastAsia" w:ascii="仿宋_GB2312" w:hAnsi="仿宋_GB2312" w:eastAsia="仿宋_GB2312" w:cs="仿宋_GB2312"/>
          <w:color w:val="auto"/>
          <w:sz w:val="28"/>
          <w:szCs w:val="28"/>
          <w:lang w:val="en-US" w:eastAsia="zh-CN"/>
        </w:rPr>
        <w:t>人大、</w:t>
      </w:r>
      <w:r>
        <w:rPr>
          <w:rFonts w:hint="eastAsia" w:ascii="仿宋_GB2312" w:hAnsi="仿宋_GB2312" w:eastAsia="仿宋_GB2312" w:cs="仿宋_GB2312"/>
          <w:color w:val="auto"/>
          <w:sz w:val="28"/>
          <w:szCs w:val="28"/>
        </w:rPr>
        <w:t>相关部门交办或下达的工作任务。</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1.4部门绩效自评项目占比率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部门自评项目在所有项目中所占的份额，反映和评价部门对项目自评的重视程度。</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占比率=(自评项目资金量/项目支出资金量)×100%。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部门支出项目绩效自评范围：本年度列入本级财政预算安排的项目。</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lang w:eastAsia="zh-CN"/>
        </w:rPr>
        <w:t>目标值为100%，达到目标值得3分，未达到目标值采用完成比率法计分：得分=占比率/目标值×3，超过目标值不加分。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无计划项目，本指标评价得3分。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2021年度支出仅为部门业务活动费，无需相应自评报告。</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2.效果</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2.1监督发现问题-违规率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部门存在违规问题的资金数量占部门预算支出资金总额的比重，用以反映和考核部门预算资金管理使用的合法、合规情况。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违规率=存在违规问题的资金额/部门预算支出资金总额×100%</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目标值0，达到目标值得2分，未达到目标值的每增加0.1个百分点扣0.1分。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违规率为</w:t>
      </w:r>
      <w:r>
        <w:rPr>
          <w:rFonts w:hint="eastAsia" w:ascii="仿宋_GB2312" w:hAnsi="仿宋_GB2312" w:eastAsia="仿宋_GB2312" w:cs="仿宋_GB2312"/>
          <w:color w:val="auto"/>
          <w:sz w:val="28"/>
          <w:szCs w:val="28"/>
          <w:lang w:val="en-US" w:eastAsia="zh-CN"/>
        </w:rPr>
        <w:t>0.10</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1.90</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查阅</w:t>
      </w:r>
      <w:r>
        <w:rPr>
          <w:rFonts w:hint="eastAsia" w:ascii="仿宋_GB2312" w:hAnsi="仿宋_GB2312" w:eastAsia="仿宋_GB2312" w:cs="仿宋_GB2312"/>
          <w:color w:val="auto"/>
          <w:sz w:val="28"/>
          <w:szCs w:val="28"/>
          <w:lang w:eastAsia="zh-CN"/>
        </w:rPr>
        <w:t>察隅县政协办</w:t>
      </w:r>
      <w:r>
        <w:rPr>
          <w:rFonts w:hint="eastAsia" w:ascii="仿宋_GB2312" w:hAnsi="仿宋_GB2312" w:eastAsia="仿宋_GB2312" w:cs="仿宋_GB2312"/>
          <w:color w:val="auto"/>
          <w:sz w:val="28"/>
          <w:szCs w:val="28"/>
        </w:rPr>
        <w:t>2021年度所有会计凭证、明细账以及收付款单据等，</w:t>
      </w:r>
      <w:r>
        <w:rPr>
          <w:rFonts w:hint="eastAsia" w:ascii="仿宋_GB2312" w:hAnsi="仿宋_GB2312" w:eastAsia="仿宋_GB2312" w:cs="仿宋_GB2312"/>
          <w:color w:val="auto"/>
          <w:sz w:val="28"/>
          <w:szCs w:val="28"/>
          <w:lang w:val="en-US" w:eastAsia="zh-CN"/>
        </w:rPr>
        <w:t>发现存</w:t>
      </w:r>
      <w:r>
        <w:rPr>
          <w:rFonts w:hint="eastAsia" w:ascii="仿宋_GB2312" w:hAnsi="仿宋_GB2312" w:eastAsia="仿宋_GB2312" w:cs="仿宋_GB2312"/>
          <w:color w:val="auto"/>
          <w:sz w:val="28"/>
          <w:szCs w:val="28"/>
        </w:rPr>
        <w:t>在违规问题的资金</w:t>
      </w:r>
      <w:r>
        <w:rPr>
          <w:rFonts w:hint="eastAsia" w:ascii="仿宋_GB2312" w:hAnsi="仿宋_GB2312" w:eastAsia="仿宋_GB2312" w:cs="仿宋_GB2312"/>
          <w:color w:val="auto"/>
          <w:sz w:val="28"/>
          <w:szCs w:val="28"/>
          <w:lang w:val="en-US" w:eastAsia="zh-CN"/>
        </w:rPr>
        <w:t>2,150.00元,违规率=（2150/2258493.74）</w:t>
      </w:r>
      <w:r>
        <w:rPr>
          <w:rFonts w:hint="eastAsia" w:ascii="仿宋_GB2312" w:hAnsi="仿宋_GB2312" w:eastAsia="仿宋_GB2312" w:cs="仿宋_GB2312"/>
          <w:color w:val="auto"/>
          <w:sz w:val="28"/>
          <w:szCs w:val="28"/>
        </w:rPr>
        <w:t>×100%</w:t>
      </w:r>
      <w:r>
        <w:rPr>
          <w:rFonts w:hint="eastAsia" w:ascii="仿宋_GB2312" w:hAnsi="仿宋_GB2312" w:eastAsia="仿宋_GB2312" w:cs="仿宋_GB2312"/>
          <w:color w:val="auto"/>
          <w:sz w:val="28"/>
          <w:szCs w:val="28"/>
          <w:lang w:val="en-US" w:eastAsia="zh-CN"/>
        </w:rPr>
        <w:t>=0.10%，扣0.10分</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2.2部门预算绩效管理考核评价（目标值5分，计4.</w:t>
      </w:r>
      <w:r>
        <w:rPr>
          <w:rFonts w:hint="eastAsia" w:ascii="楷体" w:hAnsi="楷体" w:eastAsia="楷体" w:cs="楷体"/>
          <w:b/>
          <w:color w:val="auto"/>
          <w:sz w:val="28"/>
          <w:szCs w:val="28"/>
          <w:lang w:val="en-US" w:eastAsia="zh-CN"/>
        </w:rPr>
        <w:t>78</w:t>
      </w:r>
      <w:r>
        <w:rPr>
          <w:rFonts w:hint="eastAsia" w:ascii="楷体" w:hAnsi="楷体" w:eastAsia="楷体" w:cs="楷体"/>
          <w:b/>
          <w:color w:val="auto"/>
          <w:sz w:val="28"/>
          <w:szCs w:val="28"/>
        </w:rPr>
        <w:t>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财政部门对部门开展预算绩效管理工作的评价结果，用以反映部门对预算绩效管理工作的重视程度和取得的成效。</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1.财政部门对部门绩效管理工作开展情况进行核查评价，包括绩效目标管理、绩效执行监控、绩效自评和评价结果应用等情况，按百分制。</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2.以部门为单位进行综合计算，得出各部门绩效管理工作评价结果。</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综合得分=（部门绩效管理工作评价结果/100）*5分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：综合得分为4</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，本指标评价得4</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财政部门对察隅县政协办绩效管理工作开展情况进行核查评价得分为</w:t>
      </w:r>
      <w:r>
        <w:rPr>
          <w:rFonts w:hint="eastAsia" w:ascii="仿宋_GB2312" w:hAnsi="仿宋_GB2312" w:eastAsia="仿宋_GB2312" w:cs="仿宋_GB2312"/>
          <w:color w:val="auto"/>
          <w:sz w:val="28"/>
          <w:szCs w:val="28"/>
          <w:lang w:val="en-US" w:eastAsia="zh-CN"/>
        </w:rPr>
        <w:t>95.5</w:t>
      </w:r>
      <w:r>
        <w:rPr>
          <w:rFonts w:hint="eastAsia" w:ascii="仿宋_GB2312" w:hAnsi="仿宋_GB2312" w:eastAsia="仿宋_GB2312" w:cs="仿宋_GB2312"/>
          <w:color w:val="auto"/>
          <w:sz w:val="28"/>
          <w:szCs w:val="28"/>
          <w:lang w:eastAsia="zh-CN"/>
        </w:rPr>
        <w:t>分，综合得分=</w:t>
      </w:r>
      <w:r>
        <w:rPr>
          <w:rFonts w:hint="eastAsia" w:ascii="仿宋_GB2312" w:hAnsi="仿宋_GB2312" w:eastAsia="仿宋_GB2312" w:cs="仿宋_GB2312"/>
          <w:color w:val="auto"/>
          <w:sz w:val="28"/>
          <w:szCs w:val="28"/>
          <w:lang w:val="en-US" w:eastAsia="zh-CN"/>
        </w:rPr>
        <w:t>95.5</w:t>
      </w:r>
      <w:r>
        <w:rPr>
          <w:rFonts w:hint="eastAsia" w:ascii="仿宋_GB2312" w:hAnsi="仿宋_GB2312" w:eastAsia="仿宋_GB2312" w:cs="仿宋_GB2312"/>
          <w:color w:val="auto"/>
          <w:sz w:val="28"/>
          <w:szCs w:val="28"/>
          <w:lang w:eastAsia="zh-CN"/>
        </w:rPr>
        <w:t>/100*5=4.</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lang w:eastAsia="zh-CN"/>
        </w:rPr>
        <w:t>分，扣0.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lang w:eastAsia="zh-CN"/>
        </w:rPr>
        <w:t>分</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2.3评价结果应用-应用率</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部门应用绩效评价结果的项目数占绩效评价项目数的比重，用以反映和考核部门绩效评价结果的利用水平和程度。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应用率=应用绩效评价结果的项目数量/部门实施绩效评价项目数量×100%。</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目标值为100%；以2分为上限，采用完成比率法计分：得分=应用率×2，超出目标值不加分。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w:t>
      </w:r>
      <w:r>
        <w:rPr>
          <w:rFonts w:hint="eastAsia" w:ascii="仿宋_GB2312" w:hAnsi="仿宋_GB2312" w:eastAsia="仿宋_GB2312" w:cs="仿宋_GB2312"/>
          <w:color w:val="auto"/>
          <w:sz w:val="28"/>
          <w:szCs w:val="28"/>
          <w:lang w:val="en-US" w:eastAsia="zh-CN"/>
        </w:rPr>
        <w:t>需要实施绩效评价的项目</w:t>
      </w:r>
      <w:r>
        <w:rPr>
          <w:rFonts w:hint="eastAsia" w:ascii="仿宋_GB2312" w:hAnsi="仿宋_GB2312" w:eastAsia="仿宋_GB2312" w:cs="仿宋_GB2312"/>
          <w:color w:val="auto"/>
          <w:sz w:val="28"/>
          <w:szCs w:val="28"/>
        </w:rPr>
        <w:t>，本指标评价得分2分。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察隅县政协办2021年度无应用绩效评价结果和部门实施绩效评价项目。</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2.4结果应用创新</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部门将绩效结果主动对外公开、预算绩效管理工作开展情况向同级政府、人大等部门报告，用以反映和考核部门在结果应用方面的创新情况。</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1.部门是否按要求对社会公开绩效评价结果。</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2.部门是否将预算绩效管理工作开展情况向同级政府、人大等部门报告。</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全部符合，得1分；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符合其中两项，得0.5；分</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：全部符合，本指标评价得1分。</w:t>
      </w:r>
    </w:p>
    <w:p>
      <w:pPr>
        <w:pageBreakBefore w:val="0"/>
        <w:widowControl w:val="0"/>
        <w:kinsoku/>
        <w:wordWrap/>
        <w:overflowPunct/>
        <w:autoSpaceDE/>
        <w:autoSpaceDN/>
        <w:bidi w:val="0"/>
        <w:adjustRightInd/>
        <w:spacing w:line="360" w:lineRule="auto"/>
        <w:ind w:firstLine="562" w:firstLineChars="200"/>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察隅县政协办2021年度暂未开展绩效评价工作，无相应资料。</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2.5社会公众满意度</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通过问卷调查了解社会公众对部门履职效果、解决民众关心的热点问题、厉行节约等方面的满意程度，反映和评价部门支出所带来的社会效益。</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按照满意度调查的优秀、良好、合格、不合格给予该项指标打分：非常满意（5分）；满意（</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分）；一般（</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分）；不满意（</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很不满意（0分）</w:t>
      </w:r>
      <w:r>
        <w:rPr>
          <w:rFonts w:hint="eastAsia" w:ascii="仿宋_GB2312" w:hAnsi="仿宋_GB2312" w:eastAsia="仿宋_GB2312" w:cs="仿宋_GB2312"/>
          <w:color w:val="auto"/>
          <w:sz w:val="28"/>
          <w:szCs w:val="28"/>
        </w:rPr>
        <w:t>。</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本</w:t>
      </w:r>
      <w:r>
        <w:rPr>
          <w:rFonts w:hint="eastAsia" w:ascii="仿宋_GB2312" w:hAnsi="仿宋_GB2312" w:eastAsia="仿宋_GB2312" w:cs="仿宋_GB2312"/>
          <w:b w:val="0"/>
          <w:bCs w:val="0"/>
          <w:color w:val="auto"/>
          <w:sz w:val="28"/>
          <w:szCs w:val="28"/>
        </w:rPr>
        <w:t>指</w:t>
      </w:r>
      <w:r>
        <w:rPr>
          <w:rFonts w:hint="eastAsia" w:ascii="仿宋_GB2312" w:hAnsi="仿宋_GB2312" w:eastAsia="仿宋_GB2312" w:cs="仿宋_GB2312"/>
          <w:color w:val="auto"/>
          <w:sz w:val="28"/>
          <w:szCs w:val="28"/>
        </w:rPr>
        <w:t>标评价得4.</w:t>
      </w:r>
      <w:r>
        <w:rPr>
          <w:rFonts w:hint="eastAsia" w:ascii="仿宋_GB2312" w:hAnsi="仿宋_GB2312" w:eastAsia="仿宋_GB2312" w:cs="仿宋_GB2312"/>
          <w:color w:val="auto"/>
          <w:sz w:val="28"/>
          <w:szCs w:val="28"/>
          <w:lang w:val="en-US" w:eastAsia="zh-CN"/>
        </w:rPr>
        <w:t>63</w:t>
      </w:r>
      <w:r>
        <w:rPr>
          <w:rFonts w:hint="eastAsia" w:ascii="仿宋_GB2312" w:hAnsi="仿宋_GB2312" w:eastAsia="仿宋_GB2312" w:cs="仿宋_GB2312"/>
          <w:color w:val="auto"/>
          <w:sz w:val="28"/>
          <w:szCs w:val="28"/>
        </w:rPr>
        <w:t>分。</w:t>
      </w:r>
    </w:p>
    <w:p>
      <w:pPr>
        <w:pageBreakBefore w:val="0"/>
        <w:widowControl w:val="0"/>
        <w:kinsoku/>
        <w:wordWrap/>
        <w:overflowPunct/>
        <w:autoSpaceDE/>
        <w:autoSpaceDN/>
        <w:bidi w:val="0"/>
        <w:adjustRightInd/>
        <w:spacing w:line="36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lang w:val="en-US" w:eastAsia="zh-CN"/>
        </w:rPr>
        <w:t>我们向服务对象、社会群众、内部员工共发放72份问卷调查，涉及调查问题720项，非常满意510项，满意156项，一般52项，不满意2项,按照加权程度进行评分，最终得分4.63分。</w:t>
      </w:r>
    </w:p>
    <w:p>
      <w:pPr>
        <w:pStyle w:val="4"/>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23" w:name="_Toc48593816"/>
      <w:bookmarkStart w:id="24" w:name="_Toc6184"/>
      <w:r>
        <w:rPr>
          <w:rFonts w:hint="eastAsia" w:ascii="楷体" w:hAnsi="楷体" w:eastAsia="楷体" w:cs="楷体"/>
          <w:color w:val="auto"/>
          <w:sz w:val="28"/>
          <w:szCs w:val="28"/>
        </w:rPr>
        <w:t>四、存在的绩效问题</w:t>
      </w:r>
      <w:bookmarkEnd w:id="23"/>
      <w:bookmarkEnd w:id="24"/>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bCs/>
          <w:color w:val="auto"/>
          <w:sz w:val="28"/>
          <w:szCs w:val="28"/>
        </w:rPr>
      </w:pPr>
      <w:bookmarkStart w:id="25" w:name="_Toc13559"/>
      <w:r>
        <w:rPr>
          <w:rFonts w:hint="eastAsia" w:ascii="楷体" w:hAnsi="楷体" w:eastAsia="楷体" w:cs="楷体"/>
          <w:b/>
          <w:bCs/>
          <w:color w:val="auto"/>
          <w:sz w:val="28"/>
          <w:szCs w:val="28"/>
        </w:rPr>
        <w:t>1.预算管理</w:t>
      </w:r>
      <w:bookmarkEnd w:id="25"/>
    </w:p>
    <w:p>
      <w:pPr>
        <w:pageBreakBefore w:val="0"/>
        <w:widowControl w:val="0"/>
        <w:kinsoku/>
        <w:wordWrap/>
        <w:overflowPunct/>
        <w:autoSpaceDE/>
        <w:autoSpaceDN/>
        <w:bidi w:val="0"/>
        <w:adjustRightInd/>
        <w:spacing w:beforeLines="0" w:afterLines="0" w:line="360" w:lineRule="auto"/>
        <w:ind w:firstLine="562" w:firstLineChars="200"/>
        <w:textAlignment w:val="auto"/>
        <w:outlineLvl w:val="9"/>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预算</w:t>
      </w:r>
      <w:r>
        <w:rPr>
          <w:rFonts w:hint="eastAsia" w:ascii="仿宋_GB2312" w:hAnsi="仿宋_GB2312" w:eastAsia="仿宋_GB2312" w:cs="仿宋_GB2312"/>
          <w:b/>
          <w:color w:val="auto"/>
          <w:sz w:val="28"/>
          <w:szCs w:val="28"/>
          <w:lang w:val="en-US" w:eastAsia="zh-CN"/>
        </w:rPr>
        <w:t>完成率</w:t>
      </w:r>
      <w:r>
        <w:rPr>
          <w:rFonts w:hint="eastAsia" w:ascii="仿宋_GB2312" w:hAnsi="仿宋_GB2312" w:eastAsia="仿宋_GB2312" w:cs="仿宋_GB2312"/>
          <w:b/>
          <w:color w:val="auto"/>
          <w:sz w:val="28"/>
          <w:szCs w:val="28"/>
        </w:rPr>
        <w:t>较</w:t>
      </w:r>
      <w:r>
        <w:rPr>
          <w:rFonts w:hint="eastAsia" w:ascii="仿宋_GB2312" w:hAnsi="仿宋_GB2312" w:eastAsia="仿宋_GB2312" w:cs="仿宋_GB2312"/>
          <w:b/>
          <w:color w:val="auto"/>
          <w:sz w:val="28"/>
          <w:szCs w:val="28"/>
          <w:lang w:val="en-US" w:eastAsia="zh-CN"/>
        </w:rPr>
        <w:t>低</w:t>
      </w:r>
    </w:p>
    <w:p>
      <w:pPr>
        <w:pageBreakBefore w:val="0"/>
        <w:widowControl w:val="0"/>
        <w:kinsoku/>
        <w:wordWrap/>
        <w:overflowPunct/>
        <w:autoSpaceDE/>
        <w:autoSpaceDN/>
        <w:bidi w:val="0"/>
        <w:adjustRightInd/>
        <w:spacing w:beforeLines="0" w:afterLines="0" w:line="360" w:lineRule="auto"/>
        <w:ind w:firstLine="560" w:firstLineChars="200"/>
        <w:textAlignment w:val="auto"/>
        <w:outlineLvl w:val="9"/>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color w:val="auto"/>
          <w:sz w:val="28"/>
          <w:szCs w:val="28"/>
          <w:highlight w:val="none"/>
          <w:lang w:eastAsia="zh-CN"/>
        </w:rPr>
        <w:t>察隅县政协办2021年支出决算金额2,258,493.74元，年初预算数为2,892,480元，预算完成率=2258493.74/2892480×100%=78.08%</w:t>
      </w:r>
      <w:r>
        <w:rPr>
          <w:rFonts w:hint="eastAsia" w:ascii="仿宋_GB2312" w:hAnsi="仿宋_GB2312" w:eastAsia="仿宋_GB2312" w:cs="仿宋_GB2312"/>
          <w:color w:val="auto"/>
          <w:sz w:val="28"/>
          <w:szCs w:val="28"/>
          <w:lang w:val="en-US" w:eastAsia="zh-CN"/>
        </w:rPr>
        <w:t>,小于80%，</w:t>
      </w:r>
      <w:r>
        <w:rPr>
          <w:rFonts w:hint="eastAsia" w:ascii="仿宋_GB2312" w:hAnsi="仿宋_GB2312" w:eastAsia="仿宋_GB2312" w:cs="仿宋_GB2312"/>
          <w:color w:val="auto"/>
          <w:sz w:val="28"/>
          <w:szCs w:val="28"/>
          <w:lang w:eastAsia="zh-CN"/>
        </w:rPr>
        <w:t>主</w:t>
      </w:r>
      <w:r>
        <w:rPr>
          <w:rFonts w:hint="eastAsia" w:ascii="仿宋_GB2312" w:hAnsi="仿宋_GB2312" w:eastAsia="仿宋_GB2312" w:cs="仿宋_GB2312"/>
          <w:bCs/>
          <w:color w:val="auto"/>
          <w:sz w:val="28"/>
          <w:szCs w:val="28"/>
        </w:rPr>
        <w:t>要原因是：</w:t>
      </w:r>
      <w:r>
        <w:rPr>
          <w:rFonts w:hint="eastAsia" w:ascii="仿宋_GB2312" w:hAnsi="仿宋_GB2312" w:eastAsia="仿宋_GB2312" w:cs="仿宋_GB2312"/>
          <w:color w:val="auto"/>
          <w:sz w:val="28"/>
          <w:szCs w:val="28"/>
        </w:rPr>
        <w:t>年初编制预算时</w:t>
      </w:r>
      <w:r>
        <w:rPr>
          <w:rFonts w:hint="eastAsia" w:ascii="仿宋_GB2312" w:hAnsi="仿宋_GB2312" w:eastAsia="仿宋_GB2312" w:cs="仿宋_GB2312"/>
          <w:color w:val="auto"/>
          <w:sz w:val="28"/>
          <w:szCs w:val="28"/>
          <w:lang w:val="en-US" w:eastAsia="zh-CN"/>
        </w:rPr>
        <w:t>公用经费</w:t>
      </w:r>
      <w:r>
        <w:rPr>
          <w:rFonts w:hint="eastAsia" w:ascii="仿宋_GB2312" w:hAnsi="仿宋_GB2312" w:eastAsia="仿宋_GB2312" w:cs="仿宋_GB2312"/>
          <w:color w:val="auto"/>
          <w:sz w:val="28"/>
          <w:szCs w:val="28"/>
        </w:rPr>
        <w:t>预算</w:t>
      </w:r>
      <w:r>
        <w:rPr>
          <w:rFonts w:hint="eastAsia" w:ascii="仿宋_GB2312" w:hAnsi="仿宋_GB2312" w:eastAsia="仿宋_GB2312" w:cs="仿宋_GB2312"/>
          <w:color w:val="auto"/>
          <w:sz w:val="28"/>
          <w:szCs w:val="28"/>
          <w:lang w:val="en-US" w:eastAsia="zh-CN"/>
        </w:rPr>
        <w:t>偏高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存在预算编制不合理的问题</w:t>
      </w:r>
      <w:r>
        <w:rPr>
          <w:rFonts w:hint="eastAsia" w:ascii="仿宋_GB2312" w:hAnsi="仿宋_GB2312" w:eastAsia="仿宋_GB2312" w:cs="仿宋_GB2312"/>
          <w:color w:val="auto"/>
          <w:sz w:val="28"/>
          <w:szCs w:val="28"/>
          <w:lang w:eastAsia="zh-CN"/>
        </w:rPr>
        <w:t>。</w:t>
      </w:r>
    </w:p>
    <w:p>
      <w:pPr>
        <w:pageBreakBefore w:val="0"/>
        <w:widowControl w:val="0"/>
        <w:kinsoku/>
        <w:wordWrap/>
        <w:overflowPunct/>
        <w:autoSpaceDE/>
        <w:autoSpaceDN/>
        <w:bidi w:val="0"/>
        <w:adjustRightInd/>
        <w:spacing w:beforeLines="0" w:afterLines="0" w:line="360" w:lineRule="auto"/>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预算调整率较高</w:t>
      </w:r>
    </w:p>
    <w:p>
      <w:pPr>
        <w:pageBreakBefore w:val="0"/>
        <w:widowControl w:val="0"/>
        <w:kinsoku/>
        <w:wordWrap/>
        <w:overflowPunct/>
        <w:autoSpaceDE/>
        <w:autoSpaceDN/>
        <w:bidi w:val="0"/>
        <w:adjustRightInd/>
        <w:ind w:firstLine="560" w:firstLineChars="200"/>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highlight w:val="none"/>
          <w:lang w:eastAsia="zh-CN"/>
        </w:rPr>
        <w:t>察隅县政协办2021年年初预算数为2,891,400.00元，后调整至2,258,493.74元，预算调整金额为632,906.26元，预算调整率=632906.26/2891400×100%=21.89%，</w:t>
      </w:r>
      <w:r>
        <w:rPr>
          <w:rFonts w:hint="eastAsia" w:ascii="仿宋_GB2312" w:hAnsi="仿宋_GB2312" w:eastAsia="仿宋_GB2312" w:cs="仿宋_GB2312"/>
          <w:color w:val="auto"/>
          <w:sz w:val="28"/>
          <w:szCs w:val="28"/>
          <w:lang w:eastAsia="zh-CN"/>
        </w:rPr>
        <w:t>超过1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Cs/>
          <w:color w:val="auto"/>
          <w:sz w:val="28"/>
          <w:szCs w:val="28"/>
        </w:rPr>
        <w:t>主要原因是：</w:t>
      </w:r>
      <w:r>
        <w:rPr>
          <w:rFonts w:hint="eastAsia" w:ascii="仿宋_GB2312" w:hAnsi="仿宋_GB2312" w:eastAsia="仿宋_GB2312" w:cs="仿宋_GB2312"/>
          <w:color w:val="auto"/>
          <w:sz w:val="28"/>
          <w:szCs w:val="28"/>
        </w:rPr>
        <w:t>年初编制预算时</w:t>
      </w:r>
      <w:r>
        <w:rPr>
          <w:rFonts w:hint="eastAsia" w:ascii="仿宋_GB2312" w:hAnsi="仿宋_GB2312" w:eastAsia="仿宋_GB2312" w:cs="仿宋_GB2312"/>
          <w:color w:val="auto"/>
          <w:sz w:val="28"/>
          <w:szCs w:val="28"/>
          <w:lang w:val="en-US" w:eastAsia="zh-CN"/>
        </w:rPr>
        <w:t>公用经费</w:t>
      </w:r>
      <w:r>
        <w:rPr>
          <w:rFonts w:hint="eastAsia" w:ascii="仿宋_GB2312" w:hAnsi="仿宋_GB2312" w:eastAsia="仿宋_GB2312" w:cs="仿宋_GB2312"/>
          <w:color w:val="auto"/>
          <w:sz w:val="28"/>
          <w:szCs w:val="28"/>
        </w:rPr>
        <w:t>预算</w:t>
      </w:r>
      <w:r>
        <w:rPr>
          <w:rFonts w:hint="eastAsia" w:ascii="仿宋_GB2312" w:hAnsi="仿宋_GB2312" w:eastAsia="仿宋_GB2312" w:cs="仿宋_GB2312"/>
          <w:color w:val="auto"/>
          <w:sz w:val="28"/>
          <w:szCs w:val="28"/>
          <w:lang w:val="en-US" w:eastAsia="zh-CN"/>
        </w:rPr>
        <w:t>偏高</w:t>
      </w:r>
      <w:r>
        <w:rPr>
          <w:rFonts w:hint="eastAsia" w:ascii="仿宋_GB2312" w:hAnsi="仿宋_GB2312" w:eastAsia="仿宋_GB2312" w:cs="仿宋_GB2312"/>
          <w:color w:val="auto"/>
          <w:sz w:val="28"/>
          <w:szCs w:val="28"/>
        </w:rPr>
        <w:t>，后</w:t>
      </w:r>
      <w:r>
        <w:rPr>
          <w:rFonts w:hint="eastAsia" w:ascii="仿宋_GB2312" w:hAnsi="仿宋_GB2312" w:eastAsia="仿宋_GB2312" w:cs="仿宋_GB2312"/>
          <w:bCs/>
          <w:color w:val="auto"/>
          <w:sz w:val="28"/>
          <w:szCs w:val="28"/>
        </w:rPr>
        <w:t>又将该经费进行调整。</w:t>
      </w:r>
    </w:p>
    <w:p>
      <w:pPr>
        <w:pageBreakBefore w:val="0"/>
        <w:widowControl w:val="0"/>
        <w:kinsoku/>
        <w:wordWrap/>
        <w:overflowPunct/>
        <w:autoSpaceDE/>
        <w:autoSpaceDN/>
        <w:bidi w:val="0"/>
        <w:adjustRightInd/>
        <w:spacing w:beforeLines="0" w:afterLines="0" w:line="360" w:lineRule="auto"/>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未按规定时限和内容公开决算信息</w:t>
      </w:r>
    </w:p>
    <w:p>
      <w:pPr>
        <w:pageBreakBefore w:val="0"/>
        <w:widowControl w:val="0"/>
        <w:kinsoku/>
        <w:wordWrap/>
        <w:overflowPunct/>
        <w:autoSpaceDE/>
        <w:autoSpaceDN/>
        <w:bidi w:val="0"/>
        <w:adjustRightInd/>
        <w:ind w:left="0" w:leftChars="0"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color w:val="auto"/>
          <w:sz w:val="28"/>
          <w:szCs w:val="28"/>
          <w:highlight w:val="none"/>
          <w:lang w:eastAsia="zh-CN"/>
        </w:rPr>
        <w:t>察隅县政协办</w:t>
      </w:r>
      <w:r>
        <w:rPr>
          <w:rFonts w:hint="eastAsia" w:ascii="仿宋_GB2312" w:hAnsi="仿宋_GB2312" w:eastAsia="仿宋_GB2312" w:cs="仿宋_GB2312"/>
          <w:bCs/>
          <w:color w:val="auto"/>
          <w:kern w:val="2"/>
          <w:sz w:val="28"/>
          <w:szCs w:val="28"/>
          <w:lang w:val="en-US" w:eastAsia="zh-CN" w:bidi="ar-SA"/>
        </w:rPr>
        <w:t>按照规定内容和时限公开了2021年预算资料，未按规定时限和内容公开决算信息。</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bCs/>
          <w:color w:val="auto"/>
          <w:sz w:val="28"/>
          <w:szCs w:val="28"/>
        </w:rPr>
      </w:pPr>
      <w:bookmarkStart w:id="26" w:name="_Toc6887"/>
      <w:r>
        <w:rPr>
          <w:rFonts w:hint="eastAsia" w:ascii="楷体" w:hAnsi="楷体" w:eastAsia="楷体" w:cs="楷体"/>
          <w:b/>
          <w:bCs/>
          <w:color w:val="auto"/>
          <w:sz w:val="28"/>
          <w:szCs w:val="28"/>
        </w:rPr>
        <w:t>2.</w:t>
      </w:r>
      <w:r>
        <w:rPr>
          <w:rFonts w:hint="eastAsia" w:ascii="楷体" w:hAnsi="楷体" w:eastAsia="楷体" w:cs="楷体"/>
          <w:b/>
          <w:bCs/>
          <w:color w:val="auto"/>
          <w:sz w:val="28"/>
          <w:szCs w:val="28"/>
          <w:lang w:val="en-US" w:eastAsia="zh-CN"/>
        </w:rPr>
        <w:t>财务</w:t>
      </w:r>
      <w:r>
        <w:rPr>
          <w:rFonts w:hint="eastAsia" w:ascii="楷体" w:hAnsi="楷体" w:eastAsia="楷体" w:cs="楷体"/>
          <w:b/>
          <w:bCs/>
          <w:color w:val="auto"/>
          <w:sz w:val="28"/>
          <w:szCs w:val="28"/>
        </w:rPr>
        <w:t>管理</w:t>
      </w:r>
      <w:bookmarkEnd w:id="26"/>
    </w:p>
    <w:p>
      <w:pPr>
        <w:pageBreakBefore w:val="0"/>
        <w:widowControl w:val="0"/>
        <w:kinsoku/>
        <w:wordWrap/>
        <w:overflowPunct/>
        <w:autoSpaceDE/>
        <w:autoSpaceDN/>
        <w:bidi w:val="0"/>
        <w:adjustRightInd/>
        <w:spacing w:line="360" w:lineRule="auto"/>
        <w:ind w:firstLine="562" w:firstLineChars="200"/>
        <w:textAlignment w:val="auto"/>
        <w:rPr>
          <w:rFonts w:hint="default" w:ascii="楷体" w:hAnsi="楷体" w:eastAsia="楷体" w:cs="楷体"/>
          <w:b/>
          <w:color w:val="auto"/>
          <w:sz w:val="28"/>
          <w:szCs w:val="28"/>
          <w:lang w:val="en-US"/>
        </w:rPr>
      </w:pPr>
      <w:r>
        <w:rPr>
          <w:rFonts w:hint="eastAsia" w:ascii="楷体" w:hAnsi="楷体" w:eastAsia="楷体" w:cs="楷体"/>
          <w:b/>
          <w:color w:val="auto"/>
          <w:sz w:val="28"/>
          <w:szCs w:val="28"/>
        </w:rPr>
        <w:t>2.1</w:t>
      </w:r>
      <w:r>
        <w:rPr>
          <w:rFonts w:hint="eastAsia" w:ascii="楷体" w:hAnsi="楷体" w:eastAsia="楷体" w:cs="楷体"/>
          <w:b/>
          <w:color w:val="auto"/>
          <w:sz w:val="28"/>
          <w:szCs w:val="28"/>
          <w:lang w:val="en-US" w:eastAsia="zh-CN"/>
        </w:rPr>
        <w:t>取得</w:t>
      </w:r>
      <w:r>
        <w:rPr>
          <w:rFonts w:hint="eastAsia" w:ascii="楷体" w:hAnsi="楷体" w:eastAsia="楷体" w:cs="楷体"/>
          <w:b/>
          <w:color w:val="auto"/>
          <w:sz w:val="28"/>
          <w:szCs w:val="28"/>
        </w:rPr>
        <w:t>发票</w:t>
      </w:r>
      <w:r>
        <w:rPr>
          <w:rFonts w:hint="eastAsia" w:ascii="楷体" w:hAnsi="楷体" w:eastAsia="楷体" w:cs="楷体"/>
          <w:b/>
          <w:color w:val="auto"/>
          <w:sz w:val="28"/>
          <w:szCs w:val="28"/>
          <w:lang w:val="en-US" w:eastAsia="zh-CN"/>
        </w:rPr>
        <w:t>不规范</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查，发现</w:t>
      </w:r>
      <w:r>
        <w:rPr>
          <w:rFonts w:hint="eastAsia" w:ascii="仿宋_GB2312" w:hAnsi="仿宋_GB2312" w:eastAsia="仿宋_GB2312" w:cs="仿宋_GB2312"/>
          <w:color w:val="auto"/>
          <w:sz w:val="28"/>
          <w:szCs w:val="28"/>
          <w:lang w:val="en-US" w:eastAsia="zh-CN"/>
        </w:rPr>
        <w:t>2笔发票记载的付款单位名称不规范</w:t>
      </w:r>
      <w:r>
        <w:rPr>
          <w:rFonts w:hint="eastAsia" w:ascii="仿宋_GB2312" w:hAnsi="仿宋_GB2312" w:eastAsia="仿宋_GB2312" w:cs="仿宋_GB2312"/>
          <w:color w:val="auto"/>
          <w:sz w:val="28"/>
          <w:szCs w:val="28"/>
        </w:rPr>
        <w:t>，涉及金额</w:t>
      </w:r>
      <w:r>
        <w:rPr>
          <w:rFonts w:hint="eastAsia" w:ascii="仿宋_GB2312" w:hAnsi="仿宋_GB2312" w:eastAsia="仿宋_GB2312" w:cs="仿宋_GB2312"/>
          <w:color w:val="auto"/>
          <w:sz w:val="28"/>
          <w:szCs w:val="28"/>
          <w:lang w:val="en-US" w:eastAsia="zh-CN"/>
        </w:rPr>
        <w:t>840.00</w:t>
      </w:r>
      <w:r>
        <w:rPr>
          <w:rFonts w:hint="eastAsia" w:ascii="仿宋_GB2312" w:hAnsi="仿宋_GB2312" w:eastAsia="仿宋_GB2312" w:cs="仿宋_GB2312"/>
          <w:color w:val="auto"/>
          <w:sz w:val="28"/>
          <w:szCs w:val="28"/>
        </w:rPr>
        <w:t>元，例如：</w:t>
      </w:r>
      <w:r>
        <w:rPr>
          <w:rFonts w:hint="eastAsia" w:ascii="仿宋_GB2312" w:hAnsi="仿宋_GB2312" w:eastAsia="仿宋_GB2312" w:cs="仿宋_GB2312"/>
          <w:color w:val="auto"/>
          <w:sz w:val="28"/>
          <w:szCs w:val="28"/>
          <w:lang w:eastAsia="zh-CN"/>
        </w:rPr>
        <w:t>2021</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lang w:eastAsia="zh-CN"/>
        </w:rPr>
        <w:t>12</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第</w:t>
      </w:r>
      <w:r>
        <w:rPr>
          <w:rFonts w:hint="eastAsia" w:ascii="仿宋_GB2312" w:hAnsi="仿宋_GB2312" w:eastAsia="仿宋_GB2312" w:cs="仿宋_GB2312"/>
          <w:color w:val="auto"/>
          <w:sz w:val="28"/>
          <w:szCs w:val="28"/>
          <w:lang w:eastAsia="zh-CN"/>
        </w:rPr>
        <w:t>37</w:t>
      </w:r>
      <w:r>
        <w:rPr>
          <w:rFonts w:hint="eastAsia" w:ascii="仿宋_GB2312" w:hAnsi="仿宋_GB2312" w:eastAsia="仿宋_GB2312" w:cs="仿宋_GB2312"/>
          <w:color w:val="auto"/>
          <w:sz w:val="28"/>
          <w:szCs w:val="28"/>
          <w:lang w:val="en-US" w:eastAsia="zh-CN"/>
        </w:rPr>
        <w:t>号凭证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报销</w:t>
      </w:r>
      <w:r>
        <w:rPr>
          <w:rFonts w:hint="eastAsia" w:ascii="仿宋_GB2312" w:hAnsi="仿宋_GB2312" w:eastAsia="仿宋_GB2312" w:cs="仿宋_GB2312"/>
          <w:color w:val="auto"/>
          <w:sz w:val="28"/>
          <w:szCs w:val="28"/>
          <w:lang w:eastAsia="zh-CN"/>
        </w:rPr>
        <w:t>刊费288</w:t>
      </w:r>
      <w:r>
        <w:rPr>
          <w:rFonts w:hint="eastAsia" w:ascii="仿宋_GB2312" w:hAnsi="仿宋_GB2312" w:eastAsia="仿宋_GB2312" w:cs="仿宋_GB2312"/>
          <w:color w:val="auto"/>
          <w:sz w:val="28"/>
          <w:szCs w:val="28"/>
          <w:lang w:val="en-US" w:eastAsia="zh-CN"/>
        </w:rPr>
        <w:t>.00</w:t>
      </w:r>
      <w:r>
        <w:rPr>
          <w:rFonts w:hint="eastAsia" w:ascii="仿宋_GB2312" w:hAnsi="仿宋_GB2312" w:eastAsia="仿宋_GB2312" w:cs="仿宋_GB2312"/>
          <w:color w:val="auto"/>
          <w:sz w:val="28"/>
          <w:szCs w:val="28"/>
          <w:lang w:eastAsia="zh-CN"/>
        </w:rPr>
        <w:t>元，发票</w:t>
      </w:r>
      <w:r>
        <w:rPr>
          <w:rFonts w:hint="eastAsia" w:ascii="仿宋_GB2312" w:hAnsi="仿宋_GB2312" w:eastAsia="仿宋_GB2312" w:cs="仿宋_GB2312"/>
          <w:color w:val="auto"/>
          <w:sz w:val="28"/>
          <w:szCs w:val="28"/>
          <w:lang w:val="en-US" w:eastAsia="zh-CN"/>
        </w:rPr>
        <w:t>记载的付款单位名称</w:t>
      </w:r>
      <w:r>
        <w:rPr>
          <w:rFonts w:hint="eastAsia" w:ascii="仿宋_GB2312" w:hAnsi="仿宋_GB2312" w:eastAsia="仿宋_GB2312" w:cs="仿宋_GB2312"/>
          <w:color w:val="auto"/>
          <w:sz w:val="28"/>
          <w:szCs w:val="28"/>
          <w:lang w:eastAsia="zh-CN"/>
        </w:rPr>
        <w:t>为“西藏自治区察隅县人民政府办公室”</w:t>
      </w:r>
      <w:r>
        <w:rPr>
          <w:rFonts w:hint="eastAsia" w:ascii="仿宋_GB2312" w:hAnsi="仿宋_GB2312" w:eastAsia="仿宋_GB2312" w:cs="仿宋_GB2312"/>
          <w:color w:val="auto"/>
          <w:sz w:val="28"/>
          <w:szCs w:val="28"/>
        </w:rPr>
        <w:t>。不符合《中华人民共和国会计法》第十四条“会计机构、会计人员必须按照国家统一的会计制度</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rPr>
        <w:t>规定对原始凭证进行审核，对不真实、不合法的原始凭证有权不予接受，并向单位负责人报告；对记载不准确、不完整的原始凭证予以退回，并要求按照国家统一会计制度的规定更正”的规定。</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rPr>
        <w:t>2.2记账凭证的附件不</w:t>
      </w:r>
      <w:r>
        <w:rPr>
          <w:rFonts w:hint="eastAsia" w:ascii="楷体" w:hAnsi="楷体" w:eastAsia="楷体" w:cs="楷体"/>
          <w:b/>
          <w:color w:val="auto"/>
          <w:sz w:val="28"/>
          <w:szCs w:val="28"/>
          <w:lang w:val="en-US" w:eastAsia="zh-CN"/>
        </w:rPr>
        <w:t>齐</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查，发现</w:t>
      </w:r>
      <w:r>
        <w:rPr>
          <w:rFonts w:hint="eastAsia" w:ascii="仿宋_GB2312" w:hAnsi="仿宋_GB2312" w:eastAsia="仿宋_GB2312" w:cs="仿宋_GB2312"/>
          <w:color w:val="auto"/>
          <w:sz w:val="28"/>
          <w:szCs w:val="28"/>
          <w:lang w:val="en-US" w:eastAsia="zh-CN"/>
        </w:rPr>
        <w:t>2笔记账凭证的附件不完整，涉及金额328,263.60元，例如：2021年3月5日，第1号凭证，支付2月工资126,224.00元，未附银行支付凭证</w:t>
      </w:r>
      <w:r>
        <w:rPr>
          <w:rFonts w:hint="eastAsia" w:ascii="仿宋_GB2312" w:hAnsi="仿宋_GB2312" w:eastAsia="仿宋_GB2312" w:cs="仿宋_GB2312"/>
          <w:color w:val="auto"/>
          <w:sz w:val="28"/>
          <w:szCs w:val="28"/>
          <w:lang w:eastAsia="zh-CN"/>
        </w:rPr>
        <w:t>。不符合《中华人民共和国会计法》第十四条“会计机构、会计人员必须按照国家统一的会计制度</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lang w:eastAsia="zh-CN"/>
        </w:rPr>
        <w:t>规定对原始凭证进行审核，对不真实、不合法的原始凭证有权不予接受，并向单位负责人报告；对记载不准确、不完整的原始凭证予以退回，并要求按照国家统一会计制度的规定更正”的规定。</w:t>
      </w:r>
    </w:p>
    <w:p>
      <w:pPr>
        <w:pageBreakBefore w:val="0"/>
        <w:widowControl w:val="0"/>
        <w:kinsoku/>
        <w:wordWrap/>
        <w:overflowPunct/>
        <w:autoSpaceDE/>
        <w:autoSpaceDN/>
        <w:bidi w:val="0"/>
        <w:adjustRightInd/>
        <w:spacing w:line="360" w:lineRule="auto"/>
        <w:ind w:firstLine="562" w:firstLineChars="200"/>
        <w:textAlignment w:val="auto"/>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rPr>
        <w:t>2.</w:t>
      </w:r>
      <w:r>
        <w:rPr>
          <w:rFonts w:hint="eastAsia" w:ascii="楷体" w:hAnsi="楷体" w:eastAsia="楷体" w:cs="楷体"/>
          <w:b/>
          <w:color w:val="auto"/>
          <w:sz w:val="28"/>
          <w:szCs w:val="28"/>
          <w:lang w:val="en-US" w:eastAsia="zh-CN"/>
        </w:rPr>
        <w:t>3报销差旅费不合规</w:t>
      </w:r>
    </w:p>
    <w:p>
      <w:pPr>
        <w:pStyle w:val="2"/>
        <w:pageBreakBefore w:val="0"/>
        <w:widowControl w:val="0"/>
        <w:kinsoku/>
        <w:wordWrap/>
        <w:overflowPunct/>
        <w:autoSpaceDE/>
        <w:autoSpaceDN/>
        <w:bidi w:val="0"/>
        <w:adjustRightInd/>
        <w:ind w:firstLine="560" w:firstLineChars="200"/>
        <w:textAlignment w:val="auto"/>
        <w:rPr>
          <w:rFonts w:hint="eastAsia" w:ascii="楷体" w:hAnsi="楷体" w:eastAsia="楷体" w:cs="楷体"/>
          <w:b/>
          <w:bCs/>
          <w:color w:val="auto"/>
          <w:sz w:val="28"/>
          <w:szCs w:val="28"/>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查，发现</w:t>
      </w:r>
      <w:r>
        <w:rPr>
          <w:rFonts w:hint="eastAsia" w:ascii="仿宋_GB2312" w:hAnsi="仿宋_GB2312" w:eastAsia="仿宋_GB2312" w:cs="仿宋_GB2312"/>
          <w:color w:val="auto"/>
          <w:sz w:val="28"/>
          <w:szCs w:val="28"/>
          <w:lang w:val="en-US" w:eastAsia="zh-CN"/>
        </w:rPr>
        <w:t>1笔记报销差旅费不合规,</w:t>
      </w:r>
      <w:r>
        <w:rPr>
          <w:rFonts w:hint="eastAsia" w:ascii="仿宋_GB2312" w:hAnsi="仿宋_GB2312" w:eastAsia="仿宋_GB2312" w:cs="仿宋_GB2312"/>
          <w:color w:val="auto"/>
          <w:kern w:val="2"/>
          <w:sz w:val="28"/>
          <w:szCs w:val="28"/>
          <w:lang w:val="en-US" w:eastAsia="zh-CN" w:bidi="ar-SA"/>
        </w:rPr>
        <w:t>2021年12月2日，第35号凭证，报销差旅费820.00元，报备表出差时间为2021年10月25-30日，住宿发票为2021年9月25日、30日住宿一天。</w:t>
      </w:r>
      <w:r>
        <w:rPr>
          <w:rFonts w:hint="eastAsia" w:ascii="仿宋_GB2312" w:hAnsi="仿宋_GB2312" w:eastAsia="仿宋_GB2312" w:cs="仿宋_GB2312"/>
          <w:color w:val="auto"/>
          <w:sz w:val="28"/>
          <w:szCs w:val="28"/>
          <w:lang w:eastAsia="zh-CN"/>
        </w:rPr>
        <w:t>不符合《中华人民共和国会计法》第十四条“会计机构、会计人员必须按照国家统一的会计制度</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lang w:eastAsia="zh-CN"/>
        </w:rPr>
        <w:t>规定对原始凭证进行审核，对不真实、不合法的原始凭证有权不予接受，并向单位负责人报告；对记载不准确、不完整的原始凭证予以退回，并要求按照国家统一会计制度的规定更正”的规定。</w:t>
      </w:r>
    </w:p>
    <w:p>
      <w:pPr>
        <w:pageBreakBefore w:val="0"/>
        <w:widowControl w:val="0"/>
        <w:kinsoku/>
        <w:wordWrap/>
        <w:overflowPunct/>
        <w:autoSpaceDE/>
        <w:autoSpaceDN/>
        <w:bidi w:val="0"/>
        <w:adjustRightInd/>
        <w:spacing w:line="360" w:lineRule="auto"/>
        <w:ind w:firstLine="562" w:firstLineChars="200"/>
        <w:textAlignment w:val="auto"/>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2.4会计做账日期提前</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查，发现</w:t>
      </w:r>
      <w:r>
        <w:rPr>
          <w:rFonts w:hint="eastAsia" w:ascii="仿宋_GB2312" w:hAnsi="仿宋_GB2312" w:eastAsia="仿宋_GB2312" w:cs="仿宋_GB2312"/>
          <w:color w:val="auto"/>
          <w:sz w:val="28"/>
          <w:szCs w:val="28"/>
          <w:lang w:val="en-US" w:eastAsia="zh-CN"/>
        </w:rPr>
        <w:t>6笔记账凭证日期早于付款日期,涉及金额179,785.00元，例如：2021年3月16日，第3号凭证，报差旅费3,360.00元，支付凭证日期为2021年3月17日</w:t>
      </w:r>
      <w:r>
        <w:rPr>
          <w:rFonts w:hint="eastAsia" w:ascii="仿宋_GB2312" w:hAnsi="仿宋_GB2312" w:eastAsia="仿宋_GB2312" w:cs="仿宋_GB2312"/>
          <w:color w:val="auto"/>
          <w:sz w:val="28"/>
          <w:szCs w:val="28"/>
        </w:rPr>
        <w:t>。不符合《政府会计准则--基本准则》（财政部令第78号）第十四条“政府会计主体对已经发生的经济业务或者事项，应当及时进行会计核算，不得提前或者延后”的规定。</w:t>
      </w:r>
    </w:p>
    <w:p>
      <w:pPr>
        <w:pageBreakBefore w:val="0"/>
        <w:widowControl w:val="0"/>
        <w:kinsoku/>
        <w:wordWrap/>
        <w:overflowPunct/>
        <w:autoSpaceDE/>
        <w:autoSpaceDN/>
        <w:bidi w:val="0"/>
        <w:adjustRightInd/>
        <w:spacing w:line="360" w:lineRule="auto"/>
        <w:ind w:firstLine="562" w:firstLineChars="200"/>
        <w:textAlignment w:val="auto"/>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2.5报销费用先支付后审</w:t>
      </w:r>
      <w:r>
        <w:rPr>
          <w:rFonts w:hint="eastAsia" w:ascii="楷体" w:hAnsi="楷体" w:eastAsia="楷体" w:cs="楷体"/>
          <w:b/>
          <w:color w:val="auto"/>
          <w:sz w:val="28"/>
          <w:szCs w:val="28"/>
        </w:rPr>
        <w:t>核</w:t>
      </w:r>
    </w:p>
    <w:p>
      <w:pPr>
        <w:pageBreakBefore w:val="0"/>
        <w:widowControl w:val="0"/>
        <w:kinsoku/>
        <w:wordWrap/>
        <w:overflowPunct/>
        <w:autoSpaceDE/>
        <w:autoSpaceDN/>
        <w:bidi w:val="0"/>
        <w:adjustRightIn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对会计凭证的检查，发现1笔报销费用财政复核日期晚于支付日期，2021年12月10日，第43号凭证，报销慰问检查站慰问金2,000.00元，支付日期是2021年12月10日，财政复核为2021年12月30日。不符合《政府会计准则-基本准则》（财政部令第78号）第十一条“政府会计主体应当以实际发生的经济业务或者事项为依据进行会计核算，如实反映各项会计要素的情况和结果，保证会计信息真实可靠”。</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bCs/>
          <w:color w:val="auto"/>
          <w:sz w:val="28"/>
          <w:szCs w:val="28"/>
        </w:rPr>
      </w:pPr>
      <w:bookmarkStart w:id="27" w:name="_Toc4588"/>
      <w:r>
        <w:rPr>
          <w:rFonts w:hint="eastAsia" w:ascii="楷体" w:hAnsi="楷体" w:eastAsia="楷体" w:cs="楷体"/>
          <w:b/>
          <w:bCs/>
          <w:color w:val="auto"/>
          <w:sz w:val="28"/>
          <w:szCs w:val="28"/>
          <w:lang w:val="en-US" w:eastAsia="zh-CN"/>
        </w:rPr>
        <w:t>3.资金</w:t>
      </w:r>
      <w:r>
        <w:rPr>
          <w:rFonts w:hint="eastAsia" w:ascii="楷体" w:hAnsi="楷体" w:eastAsia="楷体" w:cs="楷体"/>
          <w:b/>
          <w:bCs/>
          <w:color w:val="auto"/>
          <w:sz w:val="28"/>
          <w:szCs w:val="28"/>
        </w:rPr>
        <w:t>管理</w:t>
      </w:r>
      <w:bookmarkEnd w:id="27"/>
    </w:p>
    <w:p>
      <w:pPr>
        <w:pStyle w:val="2"/>
        <w:pageBreakBefore w:val="0"/>
        <w:widowControl w:val="0"/>
        <w:kinsoku/>
        <w:wordWrap/>
        <w:overflowPunct/>
        <w:autoSpaceDE/>
        <w:autoSpaceDN/>
        <w:bidi w:val="0"/>
        <w:adjustRightInd/>
        <w:ind w:firstLine="562" w:firstLineChars="200"/>
        <w:textAlignment w:val="auto"/>
        <w:rPr>
          <w:rFonts w:hint="eastAsia" w:ascii="楷体" w:hAnsi="楷体" w:eastAsia="楷体" w:cs="楷体"/>
          <w:b/>
          <w:color w:val="auto"/>
          <w:kern w:val="2"/>
          <w:sz w:val="28"/>
          <w:szCs w:val="28"/>
          <w:lang w:val="en-US" w:eastAsia="zh-CN" w:bidi="ar-SA"/>
        </w:rPr>
      </w:pPr>
      <w:r>
        <w:rPr>
          <w:rFonts w:hint="eastAsia" w:ascii="楷体" w:hAnsi="楷体" w:eastAsia="楷体" w:cs="楷体"/>
          <w:b/>
          <w:color w:val="auto"/>
          <w:sz w:val="28"/>
          <w:szCs w:val="28"/>
          <w:lang w:val="en-US" w:eastAsia="zh-CN"/>
        </w:rPr>
        <w:t>3</w:t>
      </w:r>
      <w:r>
        <w:rPr>
          <w:rFonts w:hint="eastAsia" w:ascii="楷体" w:hAnsi="楷体" w:eastAsia="楷体" w:cs="楷体"/>
          <w:b/>
          <w:color w:val="auto"/>
          <w:sz w:val="28"/>
          <w:szCs w:val="28"/>
        </w:rPr>
        <w:t>.</w:t>
      </w:r>
      <w:r>
        <w:rPr>
          <w:rFonts w:hint="eastAsia" w:ascii="楷体" w:hAnsi="楷体" w:eastAsia="楷体" w:cs="楷体"/>
          <w:b/>
          <w:color w:val="auto"/>
          <w:sz w:val="28"/>
          <w:szCs w:val="28"/>
          <w:lang w:val="en-US" w:eastAsia="zh-CN"/>
        </w:rPr>
        <w:t>1</w:t>
      </w:r>
      <w:r>
        <w:rPr>
          <w:rFonts w:hint="eastAsia" w:ascii="楷体" w:hAnsi="楷体" w:eastAsia="楷体" w:cs="楷体"/>
          <w:b/>
          <w:color w:val="auto"/>
          <w:kern w:val="2"/>
          <w:sz w:val="28"/>
          <w:szCs w:val="28"/>
          <w:lang w:val="en-US" w:eastAsia="zh-CN" w:bidi="ar-SA"/>
        </w:rPr>
        <w:t>慰问金超标准</w:t>
      </w:r>
    </w:p>
    <w:p>
      <w:pPr>
        <w:pageBreakBefore w:val="0"/>
        <w:widowControl w:val="0"/>
        <w:kinsoku/>
        <w:wordWrap/>
        <w:overflowPunct/>
        <w:autoSpaceDE/>
        <w:autoSpaceDN/>
        <w:bidi w:val="0"/>
        <w:adjustRightInd/>
        <w:spacing w:line="360" w:lineRule="auto"/>
        <w:ind w:firstLine="560" w:firstLineChars="200"/>
        <w:textAlignment w:val="auto"/>
        <w:rPr>
          <w:rFonts w:hint="default" w:ascii="楷体" w:hAnsi="楷体" w:eastAsia="楷体" w:cs="楷体"/>
          <w:b/>
          <w:color w:val="auto"/>
          <w:sz w:val="28"/>
          <w:szCs w:val="28"/>
          <w:lang w:val="en-US" w:eastAsia="zh-CN"/>
        </w:rPr>
      </w:pPr>
      <w:r>
        <w:rPr>
          <w:rFonts w:hint="eastAsia" w:ascii="仿宋_GB2312" w:hAnsi="仿宋_GB2312" w:eastAsia="仿宋_GB2312" w:cs="仿宋_GB2312"/>
          <w:color w:val="auto"/>
          <w:sz w:val="28"/>
          <w:szCs w:val="28"/>
          <w:lang w:val="en-US" w:eastAsia="zh-CN"/>
        </w:rPr>
        <w:t>根据对会计凭证的检查，发现1笔慰问金超标准，2021年7月7日，第2号凭证，慰问慢性病人6名，其中2名慰问金各2,000.00元，超标准发放慰问金共计2,000.00元。不符合《察隅县人民政府办公室关于转发&lt;西藏自治区人民政府关于印发&lt;西藏自治区本级机关事业单位慰问经费管理暂行办法&gt;的通知&gt;的通知》（察政办发[2016]17号）第十条“慰问金、慰问品实行分项定额管理，召开座谈会开支实行定额管理，其中：对个人开展慰问按1000元/人标准发放慰问金，300元/人标准发放慰问品，座谈会开支200元/10人标准”。</w:t>
      </w:r>
    </w:p>
    <w:p>
      <w:pPr>
        <w:pStyle w:val="2"/>
        <w:pageBreakBefore w:val="0"/>
        <w:widowControl w:val="0"/>
        <w:kinsoku/>
        <w:wordWrap/>
        <w:overflowPunct/>
        <w:autoSpaceDE/>
        <w:autoSpaceDN/>
        <w:bidi w:val="0"/>
        <w:adjustRightInd/>
        <w:ind w:firstLine="562" w:firstLineChars="200"/>
        <w:textAlignment w:val="auto"/>
        <w:rPr>
          <w:rFonts w:hint="eastAsia" w:ascii="楷体" w:hAnsi="楷体" w:eastAsia="楷体" w:cs="楷体"/>
          <w:b/>
          <w:color w:val="auto"/>
          <w:kern w:val="2"/>
          <w:sz w:val="28"/>
          <w:szCs w:val="28"/>
          <w:lang w:val="en-US" w:eastAsia="zh-CN" w:bidi="ar-SA"/>
        </w:rPr>
      </w:pPr>
      <w:r>
        <w:rPr>
          <w:rFonts w:hint="eastAsia" w:ascii="楷体" w:hAnsi="楷体" w:eastAsia="楷体" w:cs="楷体"/>
          <w:b/>
          <w:color w:val="auto"/>
          <w:sz w:val="28"/>
          <w:szCs w:val="28"/>
          <w:lang w:val="en-US" w:eastAsia="zh-CN"/>
        </w:rPr>
        <w:t>3</w:t>
      </w:r>
      <w:r>
        <w:rPr>
          <w:rFonts w:hint="eastAsia" w:ascii="楷体" w:hAnsi="楷体" w:eastAsia="楷体" w:cs="楷体"/>
          <w:b/>
          <w:color w:val="auto"/>
          <w:sz w:val="28"/>
          <w:szCs w:val="28"/>
        </w:rPr>
        <w:t>.</w:t>
      </w:r>
      <w:r>
        <w:rPr>
          <w:rFonts w:hint="eastAsia" w:ascii="楷体" w:hAnsi="楷体" w:eastAsia="楷体" w:cs="楷体"/>
          <w:b/>
          <w:color w:val="auto"/>
          <w:sz w:val="28"/>
          <w:szCs w:val="28"/>
          <w:lang w:val="en-US" w:eastAsia="zh-CN"/>
        </w:rPr>
        <w:t>2</w:t>
      </w:r>
      <w:r>
        <w:rPr>
          <w:rFonts w:hint="eastAsia" w:ascii="楷体" w:hAnsi="楷体" w:eastAsia="楷体" w:cs="楷体"/>
          <w:b/>
          <w:color w:val="auto"/>
          <w:kern w:val="2"/>
          <w:sz w:val="28"/>
          <w:szCs w:val="28"/>
          <w:lang w:val="en-US" w:eastAsia="zh-CN" w:bidi="ar-SA"/>
        </w:rPr>
        <w:t>购置办公设备超标准</w:t>
      </w:r>
    </w:p>
    <w:p>
      <w:pPr>
        <w:pageBreakBefore w:val="0"/>
        <w:widowControl w:val="0"/>
        <w:kinsoku/>
        <w:wordWrap/>
        <w:overflowPunct/>
        <w:autoSpaceDE/>
        <w:autoSpaceDN/>
        <w:bidi w:val="0"/>
        <w:adjustRightInd/>
        <w:ind w:firstLine="560" w:firstLineChars="200"/>
        <w:textAlignment w:val="auto"/>
        <w:rPr>
          <w:rFonts w:hint="eastAsia"/>
          <w:color w:val="auto"/>
        </w:rPr>
      </w:pPr>
      <w:r>
        <w:rPr>
          <w:rFonts w:hint="eastAsia" w:ascii="仿宋_GB2312" w:hAnsi="仿宋_GB2312" w:eastAsia="仿宋_GB2312" w:cs="仿宋_GB2312"/>
          <w:color w:val="auto"/>
          <w:sz w:val="28"/>
          <w:szCs w:val="28"/>
          <w:lang w:val="en-US" w:eastAsia="zh-CN"/>
        </w:rPr>
        <w:t>根据对会计凭证的检查，发现1笔购置办公设备超标准，2021年7月28日，第6号凭证，购置主席办公室1把椅子1,350.00元，超标准购置支出150.00元。不符合《西藏自治区财政厅关于印发&lt;西藏自治区行政事业单位通用资产配备使用管理办法（试行）的通知&gt;的通知》（林财国资字[2018]18号）购置办公椅标准，科级及以下人员800元，副处级1000元，正处级1200元。</w:t>
      </w:r>
    </w:p>
    <w:p>
      <w:pPr>
        <w:pStyle w:val="4"/>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color w:val="auto"/>
          <w:sz w:val="28"/>
          <w:szCs w:val="28"/>
        </w:rPr>
      </w:pPr>
      <w:bookmarkStart w:id="28" w:name="_Toc22674"/>
      <w:r>
        <w:rPr>
          <w:rFonts w:hint="eastAsia" w:ascii="楷体" w:hAnsi="楷体" w:eastAsia="楷体" w:cs="楷体"/>
          <w:color w:val="auto"/>
          <w:sz w:val="28"/>
          <w:szCs w:val="28"/>
        </w:rPr>
        <w:t>五、整改措施</w:t>
      </w:r>
      <w:bookmarkEnd w:id="28"/>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eastAsia" w:ascii="楷体" w:hAnsi="楷体" w:eastAsia="楷体" w:cs="楷体"/>
          <w:b/>
          <w:bCs/>
          <w:color w:val="auto"/>
          <w:sz w:val="28"/>
          <w:szCs w:val="28"/>
        </w:rPr>
      </w:pPr>
      <w:bookmarkStart w:id="29" w:name="_Toc48593817"/>
      <w:bookmarkStart w:id="30" w:name="_Toc20210"/>
      <w:r>
        <w:rPr>
          <w:rFonts w:hint="eastAsia" w:ascii="楷体" w:hAnsi="楷体" w:eastAsia="楷体" w:cs="楷体"/>
          <w:b/>
          <w:bCs/>
          <w:color w:val="auto"/>
          <w:sz w:val="28"/>
          <w:szCs w:val="28"/>
        </w:rPr>
        <w:t>1.</w:t>
      </w:r>
      <w:bookmarkEnd w:id="29"/>
      <w:r>
        <w:rPr>
          <w:rFonts w:hint="eastAsia" w:ascii="楷体" w:hAnsi="楷体" w:eastAsia="楷体" w:cs="楷体"/>
          <w:b/>
          <w:bCs/>
          <w:color w:val="auto"/>
          <w:sz w:val="28"/>
          <w:szCs w:val="28"/>
        </w:rPr>
        <w:t>加强预算编制管理，提高预算编制准确率</w:t>
      </w:r>
      <w:bookmarkEnd w:id="30"/>
    </w:p>
    <w:p>
      <w:pPr>
        <w:pageBreakBefore w:val="0"/>
        <w:widowControl w:val="0"/>
        <w:kinsoku/>
        <w:wordWrap/>
        <w:overflowPunct/>
        <w:autoSpaceDE/>
        <w:autoSpaceDN/>
        <w:bidi w:val="0"/>
        <w:adjustRightInd/>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预算编制前根据年度内单位可预见的工作任务，确定单位年度预算目标，科学合理编制部门预算。年度预算执行过程中，根据实际情况，定期做好预算执行分析，掌握预算执行进度。</w:t>
      </w:r>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default" w:ascii="楷体" w:hAnsi="楷体" w:eastAsia="楷体" w:cs="楷体"/>
          <w:b/>
          <w:bCs/>
          <w:color w:val="auto"/>
          <w:sz w:val="28"/>
          <w:szCs w:val="28"/>
          <w:lang w:val="en-US" w:eastAsia="zh-CN"/>
        </w:rPr>
      </w:pPr>
      <w:bookmarkStart w:id="31" w:name="_Toc25740"/>
      <w:r>
        <w:rPr>
          <w:rFonts w:hint="eastAsia" w:ascii="楷体" w:hAnsi="楷体" w:eastAsia="楷体" w:cs="楷体"/>
          <w:b/>
          <w:bCs/>
          <w:color w:val="auto"/>
          <w:sz w:val="28"/>
          <w:szCs w:val="28"/>
        </w:rPr>
        <w:t>2.</w:t>
      </w:r>
      <w:r>
        <w:rPr>
          <w:rFonts w:hint="eastAsia" w:ascii="楷体" w:hAnsi="楷体" w:eastAsia="楷体" w:cs="楷体"/>
          <w:b/>
          <w:bCs/>
          <w:color w:val="auto"/>
          <w:sz w:val="28"/>
          <w:szCs w:val="28"/>
          <w:lang w:val="en-US" w:eastAsia="zh-CN"/>
        </w:rPr>
        <w:t>加强财务审核工作，进一步规范财务管理</w:t>
      </w:r>
      <w:bookmarkEnd w:id="31"/>
    </w:p>
    <w:p>
      <w:pPr>
        <w:pageBreakBefore w:val="0"/>
        <w:widowControl w:val="0"/>
        <w:kinsoku/>
        <w:wordWrap/>
        <w:overflowPunct/>
        <w:autoSpaceDE/>
        <w:autoSpaceDN/>
        <w:bidi w:val="0"/>
        <w:adjustRightInd/>
        <w:ind w:firstLine="560" w:firstLineChars="200"/>
        <w:textAlignment w:val="auto"/>
        <w:rPr>
          <w:rFonts w:hint="eastAsia" w:ascii="仿宋_GB2312" w:hAnsi="仿宋_GB2312" w:eastAsia="仿宋_GB2312" w:cs="仿宋_GB2312"/>
          <w:b w:val="0"/>
          <w:bCs/>
          <w:color w:val="auto"/>
          <w:kern w:val="2"/>
          <w:sz w:val="28"/>
          <w:szCs w:val="28"/>
          <w:lang w:val="en-US" w:eastAsia="zh-CN" w:bidi="ar-SA"/>
        </w:rPr>
      </w:pPr>
      <w:bookmarkStart w:id="32" w:name="_Toc83375905"/>
      <w:r>
        <w:rPr>
          <w:rFonts w:hint="eastAsia" w:ascii="仿宋_GB2312" w:hAnsi="仿宋_GB2312" w:eastAsia="仿宋_GB2312" w:cs="仿宋_GB2312"/>
          <w:b w:val="0"/>
          <w:bCs/>
          <w:color w:val="auto"/>
          <w:kern w:val="2"/>
          <w:sz w:val="28"/>
          <w:szCs w:val="28"/>
          <w:lang w:val="en-US" w:eastAsia="zh-CN" w:bidi="ar-SA"/>
        </w:rPr>
        <w:t>严格按照各项财经法规，以及察隅县制定的部门财务管理制度，按照规定的财务支出标准、审批权限、审批环节、审批要求审核报账，按照集中核算的业务流程开展财务核算工作。</w:t>
      </w:r>
      <w:bookmarkEnd w:id="32"/>
    </w:p>
    <w:p>
      <w:pPr>
        <w:pStyle w:val="5"/>
        <w:pageBreakBefore w:val="0"/>
        <w:widowControl w:val="0"/>
        <w:kinsoku/>
        <w:wordWrap/>
        <w:overflowPunct/>
        <w:autoSpaceDE/>
        <w:autoSpaceDN/>
        <w:bidi w:val="0"/>
        <w:adjustRightInd/>
        <w:spacing w:before="0" w:after="0" w:line="360" w:lineRule="auto"/>
        <w:ind w:firstLine="562" w:firstLineChars="200"/>
        <w:textAlignment w:val="auto"/>
        <w:rPr>
          <w:rFonts w:hint="default" w:ascii="楷体" w:hAnsi="楷体" w:eastAsia="楷体" w:cs="楷体"/>
          <w:b/>
          <w:bCs/>
          <w:color w:val="auto"/>
          <w:sz w:val="28"/>
          <w:szCs w:val="28"/>
          <w:lang w:val="en-US" w:eastAsia="zh-CN"/>
        </w:rPr>
      </w:pPr>
      <w:bookmarkStart w:id="33" w:name="_Toc29311"/>
      <w:r>
        <w:rPr>
          <w:rFonts w:hint="eastAsia" w:ascii="楷体" w:hAnsi="楷体" w:eastAsia="楷体" w:cs="楷体"/>
          <w:b/>
          <w:bCs/>
          <w:color w:val="auto"/>
          <w:sz w:val="28"/>
          <w:szCs w:val="28"/>
          <w:lang w:val="en-US" w:eastAsia="zh-CN"/>
        </w:rPr>
        <w:t>3</w:t>
      </w:r>
      <w:r>
        <w:rPr>
          <w:rFonts w:hint="eastAsia" w:ascii="楷体" w:hAnsi="楷体" w:eastAsia="楷体" w:cs="楷体"/>
          <w:b/>
          <w:bCs/>
          <w:color w:val="auto"/>
          <w:sz w:val="28"/>
          <w:szCs w:val="28"/>
        </w:rPr>
        <w:t>.加强</w:t>
      </w:r>
      <w:r>
        <w:rPr>
          <w:rFonts w:hint="eastAsia" w:ascii="楷体" w:hAnsi="楷体" w:eastAsia="楷体" w:cs="楷体"/>
          <w:b/>
          <w:bCs/>
          <w:color w:val="auto"/>
          <w:sz w:val="28"/>
          <w:szCs w:val="28"/>
          <w:lang w:val="en-US" w:eastAsia="zh-CN"/>
        </w:rPr>
        <w:t>资金监管，规范资金使用</w:t>
      </w:r>
      <w:bookmarkEnd w:id="33"/>
    </w:p>
    <w:p>
      <w:pPr>
        <w:pageBreakBefore w:val="0"/>
        <w:widowControl w:val="0"/>
        <w:kinsoku/>
        <w:wordWrap/>
        <w:overflowPunct/>
        <w:autoSpaceDE/>
        <w:autoSpaceDN/>
        <w:bidi w:val="0"/>
        <w:adjustRightInd/>
        <w:ind w:firstLine="560" w:firstLineChars="200"/>
        <w:textAlignment w:val="auto"/>
        <w:rPr>
          <w:rFonts w:hint="default"/>
          <w:color w:val="auto"/>
          <w:lang w:val="en-US" w:eastAsia="zh-CN"/>
        </w:rPr>
      </w:pPr>
      <w:r>
        <w:rPr>
          <w:rFonts w:hint="eastAsia" w:ascii="仿宋_GB2312" w:hAnsi="仿宋_GB2312" w:eastAsia="仿宋_GB2312" w:cs="仿宋_GB2312"/>
          <w:b w:val="0"/>
          <w:bCs/>
          <w:color w:val="auto"/>
          <w:kern w:val="2"/>
          <w:sz w:val="28"/>
          <w:szCs w:val="28"/>
          <w:lang w:val="en-US" w:eastAsia="zh-CN" w:bidi="ar-SA"/>
        </w:rPr>
        <w:t>按照自治区、林芝市以及察隅县制定的资金管理制度、资产配置使用管理办法等制度，按照资金的使用范围、支出要求、支出标准等规定，严格规范各项资金的使用。</w:t>
      </w:r>
    </w:p>
    <w:p>
      <w:pPr>
        <w:pStyle w:val="4"/>
        <w:pageBreakBefore w:val="0"/>
        <w:widowControl w:val="0"/>
        <w:kinsoku/>
        <w:wordWrap/>
        <w:overflowPunct/>
        <w:autoSpaceDE/>
        <w:autoSpaceDN/>
        <w:bidi w:val="0"/>
        <w:adjustRightInd/>
        <w:spacing w:before="0" w:after="0" w:line="360" w:lineRule="auto"/>
        <w:ind w:firstLine="562" w:firstLineChars="200"/>
        <w:textAlignment w:val="auto"/>
        <w:rPr>
          <w:rFonts w:hint="eastAsia" w:ascii="仿宋_GB2312" w:hAnsi="仿宋_GB2312" w:eastAsia="仿宋_GB2312" w:cs="仿宋_GB2312"/>
          <w:color w:val="auto"/>
          <w:sz w:val="28"/>
          <w:szCs w:val="28"/>
        </w:rPr>
      </w:pPr>
      <w:bookmarkStart w:id="34" w:name="_Toc29068"/>
      <w:r>
        <w:rPr>
          <w:rFonts w:hint="eastAsia" w:ascii="仿宋_GB2312" w:hAnsi="仿宋_GB2312" w:eastAsia="仿宋_GB2312" w:cs="仿宋_GB2312"/>
          <w:color w:val="auto"/>
          <w:sz w:val="28"/>
          <w:szCs w:val="28"/>
        </w:rPr>
        <w:t>六、其他需要说明的问题</w:t>
      </w:r>
      <w:bookmarkEnd w:id="34"/>
    </w:p>
    <w:p>
      <w:pPr>
        <w:pageBreakBefore w:val="0"/>
        <w:widowControl w:val="0"/>
        <w:kinsoku/>
        <w:wordWrap/>
        <w:overflowPunct/>
        <w:topLinePunct/>
        <w:autoSpaceDE/>
        <w:autoSpaceDN/>
        <w:bidi w:val="0"/>
        <w:adjustRightInd/>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w:t>
      </w:r>
    </w:p>
    <w:p>
      <w:pPr>
        <w:pageBreakBefore w:val="0"/>
        <w:widowControl w:val="0"/>
        <w:kinsoku/>
        <w:wordWrap/>
        <w:overflowPunct/>
        <w:autoSpaceDE/>
        <w:autoSpaceDN/>
        <w:bidi w:val="0"/>
        <w:adjustRightInd/>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附件：部门整体支出绩效评价体系评分表</w:t>
      </w: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FFFFFF"/>
          <w:sz w:val="10"/>
          <w:szCs w:val="10"/>
        </w:rPr>
        <w:sectPr>
          <w:headerReference r:id="rId3" w:type="default"/>
          <w:footerReference r:id="rId4" w:type="default"/>
          <w:pgSz w:w="16838" w:h="11906" w:orient="landscape"/>
          <w:pgMar w:top="1650" w:right="1440" w:bottom="1650" w:left="1213" w:header="851" w:footer="992" w:gutter="0"/>
          <w:pgNumType w:fmt="decimal" w:start="1"/>
          <w:cols w:space="720" w:num="1"/>
          <w:docGrid w:type="lines" w:linePitch="312" w:charSpace="0"/>
        </w:sectPr>
      </w:pPr>
      <w:bookmarkStart w:id="35" w:name="_Toc80543458"/>
      <w:bookmarkStart w:id="36" w:name="_Toc31270"/>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FFFFFF"/>
          <w:sz w:val="10"/>
          <w:szCs w:val="10"/>
        </w:rPr>
      </w:pPr>
      <w:r>
        <w:rPr>
          <w:rFonts w:hint="eastAsia"/>
          <w:color w:val="FFFFFF"/>
          <w:sz w:val="10"/>
          <w:szCs w:val="10"/>
        </w:rPr>
        <w:t xml:space="preserve">附件  </w:t>
      </w:r>
      <w:bookmarkEnd w:id="35"/>
      <w:r>
        <w:rPr>
          <w:rFonts w:hint="eastAsia"/>
          <w:color w:val="FFFFFF"/>
          <w:sz w:val="10"/>
          <w:szCs w:val="10"/>
        </w:rPr>
        <w:t>部门整体支出绩效评价体系评分表</w:t>
      </w:r>
      <w:bookmarkEnd w:id="36"/>
    </w:p>
    <w:p>
      <w:pPr>
        <w:jc w:val="center"/>
      </w:pPr>
      <w:r>
        <w:rPr>
          <w:rFonts w:hint="eastAsia" w:ascii="宋体" w:hAnsi="宋体" w:eastAsia="宋体" w:cs="宋体"/>
          <w:b/>
          <w:bCs/>
          <w:color w:val="auto"/>
          <w:kern w:val="0"/>
          <w:sz w:val="36"/>
          <w:szCs w:val="36"/>
          <w:lang w:eastAsia="zh-CN"/>
        </w:rPr>
        <w:t>察隅县政协办</w:t>
      </w:r>
      <w:r>
        <w:rPr>
          <w:rFonts w:hint="eastAsia" w:ascii="宋体" w:hAnsi="宋体" w:eastAsia="宋体" w:cs="宋体"/>
          <w:b/>
          <w:bCs/>
          <w:color w:val="auto"/>
          <w:kern w:val="0"/>
          <w:sz w:val="36"/>
          <w:szCs w:val="36"/>
        </w:rPr>
        <w:t>部门绩效评价指标体系</w:t>
      </w:r>
    </w:p>
    <w:tbl>
      <w:tblPr>
        <w:tblStyle w:val="19"/>
        <w:tblW w:w="14494" w:type="dxa"/>
        <w:jc w:val="right"/>
        <w:tblLayout w:type="fixed"/>
        <w:tblCellMar>
          <w:top w:w="0" w:type="dxa"/>
          <w:left w:w="108" w:type="dxa"/>
          <w:bottom w:w="0" w:type="dxa"/>
          <w:right w:w="108" w:type="dxa"/>
        </w:tblCellMar>
      </w:tblPr>
      <w:tblGrid>
        <w:gridCol w:w="531"/>
        <w:gridCol w:w="334"/>
        <w:gridCol w:w="622"/>
        <w:gridCol w:w="413"/>
        <w:gridCol w:w="5146"/>
        <w:gridCol w:w="2158"/>
        <w:gridCol w:w="4534"/>
        <w:gridCol w:w="756"/>
      </w:tblGrid>
      <w:tr>
        <w:tblPrEx>
          <w:tblCellMar>
            <w:top w:w="0" w:type="dxa"/>
            <w:left w:w="108" w:type="dxa"/>
            <w:bottom w:w="0" w:type="dxa"/>
            <w:right w:w="108" w:type="dxa"/>
          </w:tblCellMar>
        </w:tblPrEx>
        <w:trPr>
          <w:trHeight w:val="563" w:hRule="atLeast"/>
          <w:tblHeader/>
          <w:jc w:val="right"/>
        </w:trPr>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一级指标</w:t>
            </w: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二级指标</w:t>
            </w:r>
          </w:p>
        </w:tc>
        <w:tc>
          <w:tcPr>
            <w:tcW w:w="61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三级指标</w:t>
            </w:r>
          </w:p>
        </w:tc>
        <w:tc>
          <w:tcPr>
            <w:tcW w:w="21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评分标准</w:t>
            </w:r>
          </w:p>
        </w:tc>
        <w:tc>
          <w:tcPr>
            <w:tcW w:w="45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评分情况</w:t>
            </w:r>
          </w:p>
        </w:tc>
        <w:tc>
          <w:tcPr>
            <w:tcW w:w="7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得分</w:t>
            </w:r>
          </w:p>
        </w:tc>
      </w:tr>
      <w:tr>
        <w:tblPrEx>
          <w:tblCellMar>
            <w:top w:w="0" w:type="dxa"/>
            <w:left w:w="108" w:type="dxa"/>
            <w:bottom w:w="0" w:type="dxa"/>
            <w:right w:w="108" w:type="dxa"/>
          </w:tblCellMar>
        </w:tblPrEx>
        <w:trPr>
          <w:trHeight w:val="340" w:hRule="atLeast"/>
          <w:tblHeader/>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指标名称</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分值</w:t>
            </w:r>
          </w:p>
        </w:tc>
        <w:tc>
          <w:tcPr>
            <w:tcW w:w="51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指标解释说明</w:t>
            </w:r>
          </w:p>
        </w:tc>
        <w:tc>
          <w:tcPr>
            <w:tcW w:w="2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4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72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投入（15分）</w:t>
            </w: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目标设定(5分）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职责明确</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部门的职责设定是否符合“三定”方案中所赋予的职责和年度承担的重点工作，用以反映和评价部门工作的目的性与计划性。</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符合（1分）；</w:t>
            </w:r>
          </w:p>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的部门职责设定符合察隅县县委办印发的《政协察隅县委员会办公室职能配置和人员编制方案》中所赋予的职责和年度承担的重点工作；察隅县政协办编制的《2021年度工作计划》与“三定”方案相符。</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活动合规性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部门的活动是否在职责范围之内并符合部门中长期规划，用以反映和评价部门活动目标与部门履职、年度工作任务的相符性情况。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p>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1.部门活动的设定在部门所确定的职责范围之内；</w:t>
            </w:r>
          </w:p>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2.部门活动符合省委、省政府的发展规划及本部门的年度工作安排与发展规划。</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全部符合（1分）；</w:t>
            </w:r>
          </w:p>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其中一项不符合（0分）。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经查阅察隅县政协办制定的《2021年度工作计划》与《政协察隅县委员会办公室职能配置和人员编制方案》、《察隅县国民经济和社会发展第十四个五年规划和二〇三五年远景目标纲要》相符。察隅县政协办为政协察隅县委员会的综合办事机构，在县党委和上级政协领导下工作，全年工作要点均按县党委和上级政协的工作思路制定，故察隅县政协办未制定《部门中长期规划》。</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活动合理性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部门所设立的活动是否明确合理、活动的关键性指标设置是否可衡量，用以反映和评价部门活动目标设定的合理性。</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1.活动目标的设定是可量化的，可通过清晰、可衡量的关键指标值予以体现；</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2.在活动目标设定时，将关键指标明细分解为具体的达成目标与工作任务。</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其中一项不符合（0分）。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察隅县政协办2021年无申报绩效目标项目、下达的预算指标等文件，经查阅《2021年度工作计划》等资料，察隅县政协办目标设定清晰、可衡量、可量化、且关键指标分解为具体达成目标与工作任务。</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70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目标覆盖率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部门年度申报绩效目标项目资金额与部门项目预算资金总额的比率，用以反映部门落实财政部门绩效目标申报要求的资金覆盖情况。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覆盖率=实际申报绩效目标项目资金总额/部门项目预算资金总额×100%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达到目标值得1分，未达到目标值采用完成比率法计分：得分=覆盖率/目标值×1，超过目标值不加分。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察隅县政协办2021年无申报绩效目标项目，项目资金预算30,000.00元，覆盖率=（0/30000）×100%=0.00%，扣1分。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3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目标管理创新</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部门编报整体绩效目标和申报项目绩效目标的数量超过规定的要求。用以反映和考核部门绩效目标管理创新工作情况。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项目绩效目标创新=部门绩效目标编报数量-按财政部门要求的绩效目标填报数量</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每超过1项得0.1分，满分1分。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察隅县政协办2021年度未进行部门绩效目标和项目绩效目标编报，因此无项目绩效目标创新，扣1分。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预算配置（10分）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财政供养人员控制</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部门本年度实际在职人员数与编制数的比率，用以反映和评价部门对人员成本的控制程度。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在职人员控制率=（在职人员数/编制数）×100%。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在职人员数：部门实际在职人数，以财政部确定的部门决算编制口径为准，由编制部门和人劳部门批复同意的临聘人员除外。</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编制数：机构编制部门核定批复的部门人员编制数。</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目标值≤100%；达到目标值得3分，每超出1人扣0.1分，扣完为止。</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根据《中国人民政治协商会议察隅县委员会办公室职能配置和人员编制规定》文件规定编制人员6人，实有人员12人，在职人员控制率=12/6×100%=200%。超出人数=12-6=6人，扣0.6分。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2.40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“三公经费”变动</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部门本年度“三公经费”预算数与上年度“三公经费”预算数的变动比率，用以反映和考核部门对控制重点行政成本的努力程度。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“三公经费”变动率=〔（本年度“三公经费”总额-上年度“三公经费”总额）/上年度“三公经费”总额〕×100%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“三公经费”：年度预算安排的因公出国（境）费、公务车辆购置及运行费和公务招待费。</w:t>
            </w:r>
          </w:p>
        </w:tc>
        <w:tc>
          <w:tcPr>
            <w:tcW w:w="2158"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目标值≤0；达到目标值得4分，未达到目标值的采用比率扣分法：扣分值=“三公经费”变动率×4×10，变动率达10%以上的扣4分。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察隅县政协办2020年度三公经费数为15,300.00元，2021年三公经费为36,900.00元,“三公经费”变动率=（36900-15300）/15300*100%=241.18%变动率大于10%，扣4分。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68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重点支出安排率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部门（单位）本年度预算安排的重点项目支出与部门项目总支出的比率，用以反映和考核部门（单位）对履行主要职责或完成重点任务的保障程度。重点支出安排率=（重点项目支出/项目总支出）×100%。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重点项目支出：部门（单位）年度预算安排的，与本部门履职和发展密切相关、具有明显社会和经济影响、党委政府关心或社会比较关注的项目支出总额。具体由被评价部门提出后经对口部门预算管理处审核确定。</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项目总支出：部门（单位）年度预算安排的项目支出总额。</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目标值≥70%；以3分为上限，采用完成比率法计分：得分=重点支出安排率/70%×100%×3，超出目标值不加分。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察隅县政协办2021年项目预算总支出30,000.00元，2021年安排委员视察等重点项目支出30,000.00元，重点支出安排率=（30000/30000）×100%=100.00%。但重点支出安排率为0.00%，扣3分。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20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过程（55分）</w:t>
            </w: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预算执行（30分）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预算完成率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通过对部门本年度预算完成数与预算数的比较，反映和评价部门预算的完成程度。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预算完成率=（预算完成数/预算数）×100%。</w:t>
            </w:r>
          </w:p>
        </w:tc>
        <w:tc>
          <w:tcPr>
            <w:tcW w:w="2158" w:type="dxa"/>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达到目标值的得6分；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100%＞结果≥90%，得4分；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90%＞结果≥80%，得2分；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结果＜80%得0分。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察隅县政协办2021年支出决算金额2,258,493.74元，年初预算数为2,892,480.00元，预算完成率=2258493.74/2892480×100%=78.08%。但预算完成率为78.08%，小于80%，扣6分。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预算调整率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部门本年度预算调整数与预算数的比率，用以反映和评价部门预算的调整程度。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预算调整率=（预算调整数/预算数）×100%。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目标值为10%；达到或低于目标值得3分，未达到目标值的每增加0.1个百分点扣0.1分，扣完为止</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察隅县政协办2021年年初预算数为2,891,400.00元，后调整至2,258,493.74元，预算调整金额为632,906.26元，预算调整率=632906.26/2891400×100%=21.89%。但预算调整率为21.92%，超过13.00%，扣3分。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支付进度率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部门年度支付数与年度预算（调整）数的比率，用以反映和评价部门预算执行的及时和均衡程度。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半年支付进度=部门上半年实际支出÷（上年结余结转+本年部门预算安排+上半年执行中追加追减）×100%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全年支付进度=部门全年实际支出÷（上年结余结转+本年部门预算安排+全年执行中追加追减）×100%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全年进度：结果≥100%，得6分；100%＞结果≥95%，得4分；95%＞结果≥90%，得3分；90%＞结果≥85%，得2分；结果＜85%，得0分。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察隅县政协办2020年结转结余1,080.00元，2021年预算调整后金额为2,257,413.74元，2021年实际支出为2,258,493.74元，因此支付进度率=2258493.74/（1080+2257413.74）×100%=100.00%。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6.00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结转结余率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通过对部门本年度结转结余总额与支出预算数的比较，反映和评价部门对本年度结转结余资金的实际控制程度。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结转结余率=（结转结余总额/支出预算数）×100%。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目标值为0；达到目标值得3分，未达到目标值的每增加0.1个百分点扣0.1分，扣完为止。</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察隅县政协办2021年无结转结余，结转结余率为0.00%。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结转结余变动率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部门本年度结转结余资金总额与上年度结转结余资金总额的变动比率，用以反映和考核部门对控制结转结余资金的努力程度。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结转结余变动率=〔（本年度累计结转结余资金总额-上年度累计结转结余资金总额）/上年度累计结转结余资金总额〕×100%。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目标值为≤0%；达到目标值得3分，未达到目标值的采用比率扣分法：扣分值=结转结余变动率×3×10，变动率达10%以上的扣3分。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察隅县政协办2020年结余结转额1,080.00元，2021年结余结转额0.00元，结转结余变动率=((0-1080)/1080)*100%=-100%。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公用经费控制率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通过对部门本年度实际支出的公用经费总额与预算安排的公用经费总额的比率，反映和评价部门对机构运转成本的实际控制程度。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公用经费控制率=（实际支出公用经费总额/预算安排公用经费总额）×100%。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目标值为≤100%；达到目标值得3分，未达到目标值的每增加0.1个百分点扣0.1分，扣完为止。</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察隅县政协办2021年实际公用经费支出179,408.14元，预算安排公用经费281,400.00元，公用经费控制率=179408.14/281400×100%=63.76%。</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978"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“三公经费”控制率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部门（单位）本年度“三公经费”实际支出数与预算安排数的比率，用以反映和考核部门（单位）对“三公经费”的实际控制程度。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“三公经费”控制率=（“三公经费”实际支出/“三公经费”预算安排数）×100%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目标值为≤100%；达到目标值得3分，未达到目标值的每增加0.1个百分点扣0.1分，扣完为止。</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察隅县政协办2021年“三公经费”预算数36,900.00元，实际支出数0.00元，“三公经费”控制率0.00%。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2247"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政府采购执行率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通过对部门本年度实际政府采购预算项目个数与政府采购预算项目个数的比较，反映和评价部门政府采购预算执行情况。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政府采购执行率=（实际政府采购预算项目个数/政府采购预算项目个数）×100%。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政府采购项目中非预算内安排的项目除外。</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目标值为100%；以3分为上限，采用完成比率法计分：得分=政府采购执行率×3。</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察隅县政协办2021年实际政府采购预算项目0个，政府采购预算项目1个。</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68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预算管理（15分）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管理制度健全性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部门为加强预算管理，规范财务行为而制定的管理制度是否健全完整，用以反映和考核部门预算管理制度对完成主要职责或促进事业发展的保障情况。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1．是否已制定或具有预算资金管理办法、内部财务管理制度、会计核算制度等管理制度；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2.相关管理制度是否合法、合规、完整；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3.相关管理制度是否得到有效执行。</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察隅县政协办由财政局核算中心核算，内部控制工作皆由财政局协助管理，相关管理制度合法、合规、完整且得到有效执行。</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21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资金使用合规性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部门使用预算资金是否符合相关的预算财务管理制度的规定，反映和评价部门预算资金的规范运行情况。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1.符合国家财经法规和财务管理制度规定以及有关部门资金管理办法的规定；</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2.资金的拨付有完整的审批过程和手续；</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3.项目的重大开支经过评估论证；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4.符合部门预算批复的用途；</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5.不存在截留情况；6.不存在挤占情况；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7.不存在挪用情况；8.不存在虚列支出情况。</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全部符合（6分）；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符合其中七项（5分）；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符合其中六项（3分）；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符合其中五项（2分）；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符合其中四项及以下（0分）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执行县财政局制定的符合国家财经法规的财务管理制度，查阅相关会计凭证未发现违反国家财经法规和财务管理制度规定或截留、挤占、挪用、虚列支出的情形，资金拨付审批过程和手续完整，资金使用合规，但存在发放慰问金超标准、购置办公设备超标准支出的情况，涉及资金2,150.00元，扣1分。但经检查察隅政协办2021年度会计凭证，发现存在以下情况：（一）1.接受发票付款单位名称不规范，2.会计做账早于支付日期，3.报销费用先支付后审核，4.记账凭证的附件不完整，5.差旅费原始凭证异常。（二）1.慰问金超标准2.购置办公设备超标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5.00 </w:t>
            </w:r>
          </w:p>
        </w:tc>
      </w:tr>
      <w:tr>
        <w:tblPrEx>
          <w:tblCellMar>
            <w:top w:w="0" w:type="dxa"/>
            <w:left w:w="108" w:type="dxa"/>
            <w:bottom w:w="0" w:type="dxa"/>
            <w:right w:w="108" w:type="dxa"/>
          </w:tblCellMar>
        </w:tblPrEx>
        <w:trPr>
          <w:trHeight w:val="2936"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预决算信息公开性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部门是否按照政府信息公开有关规定公开相关预决算信息，用以反映和评价部门预决算管理的公开透明情况。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预决算信息是指与部门预算、执行、决算、监督、绩效等管理相关的信息。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1.公开预决算信息；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2.按规定内容公开预决算信息；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3.按规定时限公开预决算信息。</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全部符合（3分）；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察隅县政协办按照规定内容和时限公开了2021年预算资料，决算信息由财政局统一公开。</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237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基础信息完善性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部门基础信息是否完善，用以反映和评价基础信息对预算管理工作的支撑情况。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1.基本财务管理制度健全；</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2.基础数据信息和会计信息资料真实；</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3.基础数据信息和会计信息资料完整；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4.基础数据信息和会计信息资料准确。</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符合全部四项（4分）；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符合其中三项（2分）；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察隅县政协办财务由财政局核算中心核算，财务管理制度工作皆由财政局协助管理，基础数据信息和会计信息资料真实、完整、准确。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240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资产管理（8分）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管理制度健全性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部门为加强资产管理、规范资产管理行为而制定的管理制度是否健全完整，用以反映和考核部门资产管理制度对完成主要职责或促进社会发展的保障情况。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1.是否已制定或具有资产管理制度；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2.相关资金管理制度是否合法、合规、完整；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3.相关资产管理制度是否得到有效执行。</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未制定资产管理制度，按照《西藏自治区财政厅关于印发&lt;西藏自治区行政事业单位通用资产配备使用管理办法（试行）&gt;的通知》（藏财资〔2014〕7号）、《察隅县财政资金管理办法》（察政发〔2019〕82号）等文件执行。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资产管理完全性</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部门的资产是否保存完整、使用合规、收入及时足额上缴，用以反映和评价部门资产运行情况。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1.资产保存完整；</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2.资产账务管理是否合规，</w:t>
            </w:r>
            <w:r>
              <w:rPr>
                <w:rFonts w:hint="eastAsia" w:ascii="仿宋_GB2312" w:hAnsi="仿宋_GB2312" w:eastAsia="仿宋_GB2312" w:cs="仿宋_GB2312"/>
                <w:color w:val="auto"/>
                <w:kern w:val="0"/>
                <w:sz w:val="18"/>
                <w:szCs w:val="18"/>
                <w:lang w:eastAsia="zh-CN"/>
              </w:rPr>
              <w:t>账实相符</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3.资产有偿使用及处置收入及时足额上缴。</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符合全部三项（3分）；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符合零项（0分）。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经对察隅县政协办固定资产执行现场盘点、实地走访、查阅相应财务资料等必要程序，未见账实不符的情况；察隅县政协办不存在资产租赁或处置，不存在应缴未缴国库的国有资产收益。</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固定资产利用率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部门实际在用固定资产总额与所有固定资产总额的比率，用以反映和评价部门固定资产使用效率。</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固定资产利用率=（实际在用固定资产总额/所有固定资产总额）×100%。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目标值为80%；以3分为上限，采用完成比率法计分：得分=固定资产利用率/80%×100%×3，超出目标值不加分。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经对察隅县政协办的固定资产执行实地走访、盘点等程序，未见闲置的固定资产，固定资产利用率为100.00%。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预算绩效监控管理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监控率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部门（单位）纳入绩效监控的项目数量占实际申报绩效目标项目数量的比重，用以反映和考核部门（单位）在项目运行中实施绩效管理的水平和程度。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监控率=实施绩效监控项目数/实际申报绩效目标项目数×100%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目标值为90%；以2分为上限，采用完成比率法计分：得分=监控率×2，超出目标值不加分。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察隅县政协办2021年度无实际申报绩效项目。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2906"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产出（15分）</w:t>
            </w:r>
          </w:p>
        </w:tc>
        <w:tc>
          <w:tcPr>
            <w:tcW w:w="3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职责履行（15分）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项目实际完成率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部门履行职责而实际完成的项目数与计划完成的项目数的比率，用以反映和评价部门履职任务目标的实现程度。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项目实际完成率=（实际完成项目数/计划完成项目数）×100%。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达到目标值得4分；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100%＞结果≥95%，得3分；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95%＞结果≥90%，得2分；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90%＞结果≥85%，得1分；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结果＜85%得0分。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察隅县政协办2021年度无计划完成项目。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159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项目质量达标率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部门已完成项目中质量达标项目个数占已完成项目个数的比率,用以反映和评价部门履职质量目标的实现程度。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项目质量达标率=（已完成项目中质量达标项目个数/已完成项目个数）×100%。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项目质量达标是指项目决算验收合格。</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目标值100%；以4分为上限，采用完成比率法计分：得分=项目质量达标率×4，≤95%的扣4分。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察隅县政协办2021年无计划完成项目。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重点工作办结率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部门年度重点工作实际完成数与交办或下达数的比率，用以反映部门对重点工作的办理落实程度。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重点工作办结率=（重点工作实际完成数/交办或下达数）×100%。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重点工作是指党委、政府、人大、相关部门交办或下达的工作任务。</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目标值100%；以4分为上限，采用完成比率法计分：得分=重点工作办结率×4，≤90%的扣4分。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察隅县政协办根据县党委和上级政协的安排制定全年工作要点并开展活动，2021年度无党委、政府、人大、相关部门交办或下达的工作任务。</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部门绩效自评项目占比率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部门自评项目在所有项目中所占的份额，反映和评价部门对项目自评的重视程度。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占比率=(自评项目资金量/项目支出资金量)×100%。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部门支出项目绩效自评范围：本年度列入本级财政预算安排的项目。</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目标值为100%，达到目标值得3分，未达到目标值采用完成比率法计分：得分=占比率/目标值×3，超过目标值不加分。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察隅县政协办2021年度支出仅为部门业务活动费，无需相应自评报告。</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72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效果（15分）</w:t>
            </w: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监督发现问题</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违规率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部门存在违规问题的资金数量占部门预算支出资金总额的比重，用以反映和考核部门预算资金管理使用的合法、合规情况。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违规率=存在违规问题的资金额/部门预算支出资金总额×100%</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目标值0，达到目标值得2分，未达到目标值的每增加0.1个百分点扣0.1分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查阅察隅县政协办2021年度所有会计凭证、明细账以及收付款单据等，发现存在违规问题的资金2,150.00元,违规率=（2150/2258493.74）×100%=0.10%。资金违规率为0.10%，扣0.10分。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1.90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工作成效（5分）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部门预算绩效管理考核评价</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财政部门对部门开展预算绩效管理工作的评价结果，用以反映部门对预算绩效管理工作的重视程度和取得的成效。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1.财政部门对部门绩效管理工作开展情况进行核查评价，包括绩效目标管理、绩效执行监控、绩效自评和评价结果应用等情况，按百分制。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2.以部门为单位进行综合计算，得出各部门绩效管理工作评价结果。</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综合得分=（部门绩效管理工作评价结果/100）*5分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财政部门对察隅县政协办绩效管理工作开展情况进行核查评价得分为95.5分，综合得分=95.5/100*5=4.78分，扣0.28分。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4.78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评价结果应用</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应用率</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部门应用绩效评价结果的项目数占绩效评价项目数的比重，用以反映和考核部门绩效评价结果的利用水平和程度。</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应用率=应用绩效评价结果的项目数量/部门实施绩效评价项目数量×100%。</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应用绩效评价结果包括向财政部门报告绩效评价结果、向被评价单位反馈绩效评价结果、内部公开绩效评价结果和落实整改措施等方面。</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目标值为100%；以2分为上限，采用完成比率法计分：得分=应用率×2，超出目标值不加分。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察隅县政协办2021年度无应用绩效评价结果和部门实施绩效评价项目。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结果应用创新</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结果应用创新</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部门将绩效结果主动对外公开、预算绩效管理工作开展情况向同级政府、人大等部门报告，用以反映和考核部门在结果应用方面的创新情况。</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评价要点：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1.部门是否按要求对社会公开绩效评价结果。</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2.部门是否将预算绩效管理工作开展情况向同级政府、人大等部门报告。</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全部符合（1分）；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符合其中两项（0.5分）</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符合其中一项及以下（0分）。</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察隅县政协办2021年度暂未开展绩效评价工作，无相应资料。</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社会效益（5分）</w:t>
            </w:r>
          </w:p>
        </w:tc>
        <w:tc>
          <w:tcPr>
            <w:tcW w:w="6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社会公众满意度</w:t>
            </w:r>
          </w:p>
        </w:tc>
        <w:tc>
          <w:tcPr>
            <w:tcW w:w="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51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通过问卷调查了解社会公众对部门履职效果、解决民众关心的热点问题、厉行节约等方面的满意程度，反映和评价部门支出所带来的社会效益。</w:t>
            </w:r>
          </w:p>
        </w:tc>
        <w:tc>
          <w:tcPr>
            <w:tcW w:w="215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按照满意度调查的优秀、良好、合格、不合格给予该项指标打分：非常满意（5分）；满意（</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分）；一般（</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分）；不满意（</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很不满意（0分）</w:t>
            </w:r>
            <w:r>
              <w:rPr>
                <w:rFonts w:hint="eastAsia" w:ascii="仿宋_GB2312" w:hAnsi="仿宋_GB2312" w:eastAsia="仿宋_GB2312" w:cs="仿宋_GB2312"/>
                <w:color w:val="auto"/>
                <w:kern w:val="0"/>
                <w:sz w:val="18"/>
                <w:szCs w:val="18"/>
              </w:rPr>
              <w:t>。</w:t>
            </w:r>
          </w:p>
        </w:tc>
        <w:tc>
          <w:tcPr>
            <w:tcW w:w="45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我们向服务对象、社会群众、内部员工共发放72份问卷调查，涉及调查问题720项，非常满意510项，满意156项，一般52项，不满意2项,按照加权程度进行评分，最终得分4.63分。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4.63 </w:t>
            </w:r>
          </w:p>
        </w:tc>
      </w:tr>
      <w:tr>
        <w:tblPrEx>
          <w:tblCellMar>
            <w:top w:w="0" w:type="dxa"/>
            <w:left w:w="108" w:type="dxa"/>
            <w:bottom w:w="0" w:type="dxa"/>
            <w:right w:w="108" w:type="dxa"/>
          </w:tblCellMar>
        </w:tblPrEx>
        <w:trPr>
          <w:trHeight w:val="370" w:hRule="atLeast"/>
          <w:jc w:val="right"/>
        </w:trPr>
        <w:tc>
          <w:tcPr>
            <w:tcW w:w="14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合计</w:t>
            </w:r>
          </w:p>
        </w:tc>
        <w:tc>
          <w:tcPr>
            <w:tcW w:w="41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514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215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4534" w:type="dxa"/>
            <w:tcBorders>
              <w:top w:val="single" w:color="auto" w:sz="4" w:space="0"/>
              <w:left w:val="nil"/>
              <w:bottom w:val="single" w:color="auto" w:sz="4" w:space="0"/>
              <w:right w:val="single" w:color="auto" w:sz="4" w:space="0"/>
            </w:tcBorders>
            <w:noWrap/>
            <w:vAlign w:val="center"/>
          </w:tcPr>
          <w:p>
            <w:pPr>
              <w:rPr>
                <w:rFonts w:hint="eastAsia" w:ascii="仿宋_GB2312" w:hAnsi="仿宋_GB2312" w:eastAsia="仿宋_GB2312" w:cs="仿宋_GB2312"/>
                <w:color w:val="auto"/>
                <w:kern w:val="0"/>
                <w:sz w:val="18"/>
                <w:szCs w:val="18"/>
              </w:rPr>
            </w:pP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 xml:space="preserve">82.71 </w:t>
            </w:r>
          </w:p>
        </w:tc>
      </w:tr>
    </w:tbl>
    <w:p>
      <w:pPr>
        <w:pStyle w:val="16"/>
        <w:widowControl w:val="0"/>
        <w:spacing w:before="312" w:beforeLines="100" w:beforeAutospacing="0" w:after="0" w:afterAutospacing="0" w:line="360" w:lineRule="auto"/>
        <w:ind w:right="958" w:firstLine="630" w:firstLineChars="225"/>
        <w:jc w:val="center"/>
        <w:rPr>
          <w:rFonts w:hint="default" w:ascii="Times New Roman" w:hAnsi="Times New Roman" w:eastAsia="宋体" w:cs="Times New Roman"/>
          <w:color w:val="auto"/>
          <w:sz w:val="28"/>
          <w:szCs w:val="28"/>
        </w:rPr>
      </w:pPr>
    </w:p>
    <w:p>
      <w:pPr>
        <w:jc w:val="center"/>
        <w:rPr>
          <w:rFonts w:hint="default" w:ascii="Times New Roman" w:hAnsi="Times New Roman" w:eastAsia="黑体" w:cs="Times New Roman"/>
          <w:b/>
          <w:color w:val="auto"/>
          <w:sz w:val="32"/>
          <w:szCs w:val="32"/>
        </w:rPr>
      </w:pPr>
    </w:p>
    <w:sectPr>
      <w:footerReference r:id="rId5" w:type="default"/>
      <w:pgSz w:w="16838" w:h="11906" w:orient="landscape"/>
      <w:pgMar w:top="1650" w:right="1440" w:bottom="1650" w:left="121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p>
    <w:pPr>
      <w:pStyle w:val="13"/>
      <w:rPr>
        <w:rFonts w:hint="eastAsia"/>
      </w:rPr>
    </w:pPr>
  </w:p>
  <w:p>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jMzYzE5MDY3NjFhM2Q0NjliMWUzMDYwYTVkNGUifQ=="/>
  </w:docVars>
  <w:rsids>
    <w:rsidRoot w:val="00395D4A"/>
    <w:rsid w:val="0008136B"/>
    <w:rsid w:val="000B579B"/>
    <w:rsid w:val="001971B4"/>
    <w:rsid w:val="001C280B"/>
    <w:rsid w:val="001E115D"/>
    <w:rsid w:val="00222A80"/>
    <w:rsid w:val="00256289"/>
    <w:rsid w:val="002E151D"/>
    <w:rsid w:val="003032DB"/>
    <w:rsid w:val="00342208"/>
    <w:rsid w:val="00366550"/>
    <w:rsid w:val="00395D4A"/>
    <w:rsid w:val="00395FA6"/>
    <w:rsid w:val="003A2BFA"/>
    <w:rsid w:val="003C2935"/>
    <w:rsid w:val="0040254A"/>
    <w:rsid w:val="00417A60"/>
    <w:rsid w:val="00426263"/>
    <w:rsid w:val="00434CB7"/>
    <w:rsid w:val="005A7A5B"/>
    <w:rsid w:val="005D0E09"/>
    <w:rsid w:val="00637EEC"/>
    <w:rsid w:val="00694FCD"/>
    <w:rsid w:val="006A30C4"/>
    <w:rsid w:val="006C717F"/>
    <w:rsid w:val="00706E0A"/>
    <w:rsid w:val="008054D8"/>
    <w:rsid w:val="008577A2"/>
    <w:rsid w:val="0088684E"/>
    <w:rsid w:val="008D307F"/>
    <w:rsid w:val="00902748"/>
    <w:rsid w:val="00932166"/>
    <w:rsid w:val="0094328F"/>
    <w:rsid w:val="009C4B32"/>
    <w:rsid w:val="00A948B3"/>
    <w:rsid w:val="00B84B42"/>
    <w:rsid w:val="00BB0202"/>
    <w:rsid w:val="00BD1B74"/>
    <w:rsid w:val="00C25CBC"/>
    <w:rsid w:val="00C94E37"/>
    <w:rsid w:val="00D01DE4"/>
    <w:rsid w:val="00D816D6"/>
    <w:rsid w:val="00D8769B"/>
    <w:rsid w:val="00DA735D"/>
    <w:rsid w:val="00DA7D3C"/>
    <w:rsid w:val="00DC0306"/>
    <w:rsid w:val="00DE4EC5"/>
    <w:rsid w:val="00E15B87"/>
    <w:rsid w:val="00EE21B6"/>
    <w:rsid w:val="00F14CB4"/>
    <w:rsid w:val="00F17925"/>
    <w:rsid w:val="00F93822"/>
    <w:rsid w:val="01072FA7"/>
    <w:rsid w:val="010D7DD7"/>
    <w:rsid w:val="01247E04"/>
    <w:rsid w:val="01B14C06"/>
    <w:rsid w:val="022B4FC8"/>
    <w:rsid w:val="02A057B0"/>
    <w:rsid w:val="02E75B4D"/>
    <w:rsid w:val="03C333C1"/>
    <w:rsid w:val="041B0B99"/>
    <w:rsid w:val="04786851"/>
    <w:rsid w:val="04DC0C65"/>
    <w:rsid w:val="0608320D"/>
    <w:rsid w:val="062C547F"/>
    <w:rsid w:val="0644429B"/>
    <w:rsid w:val="065F10D4"/>
    <w:rsid w:val="066167A6"/>
    <w:rsid w:val="075D6605"/>
    <w:rsid w:val="0781507A"/>
    <w:rsid w:val="093740AD"/>
    <w:rsid w:val="09880942"/>
    <w:rsid w:val="0991353D"/>
    <w:rsid w:val="0A820A73"/>
    <w:rsid w:val="0B102B69"/>
    <w:rsid w:val="0B824A13"/>
    <w:rsid w:val="0BA62186"/>
    <w:rsid w:val="0C510952"/>
    <w:rsid w:val="0CD8398F"/>
    <w:rsid w:val="0DCB534B"/>
    <w:rsid w:val="0DE92E3E"/>
    <w:rsid w:val="0DF02531"/>
    <w:rsid w:val="0DF7420E"/>
    <w:rsid w:val="0DFC6427"/>
    <w:rsid w:val="0E40219C"/>
    <w:rsid w:val="0E613A57"/>
    <w:rsid w:val="0F873994"/>
    <w:rsid w:val="0FA44AC6"/>
    <w:rsid w:val="0FCE01DD"/>
    <w:rsid w:val="0FEC1B72"/>
    <w:rsid w:val="10635FCC"/>
    <w:rsid w:val="119D0502"/>
    <w:rsid w:val="119F03B8"/>
    <w:rsid w:val="11AE2F10"/>
    <w:rsid w:val="128D6FC9"/>
    <w:rsid w:val="12BB4BB3"/>
    <w:rsid w:val="144638D4"/>
    <w:rsid w:val="14E47455"/>
    <w:rsid w:val="1548674A"/>
    <w:rsid w:val="158F3258"/>
    <w:rsid w:val="15A36452"/>
    <w:rsid w:val="16412101"/>
    <w:rsid w:val="16CD142B"/>
    <w:rsid w:val="175307A3"/>
    <w:rsid w:val="17C92852"/>
    <w:rsid w:val="19D14EE5"/>
    <w:rsid w:val="1A14541D"/>
    <w:rsid w:val="1AB946E1"/>
    <w:rsid w:val="1AF912D0"/>
    <w:rsid w:val="1BBA43D7"/>
    <w:rsid w:val="1C44144D"/>
    <w:rsid w:val="1C6E5776"/>
    <w:rsid w:val="1CCD5664"/>
    <w:rsid w:val="1D174D78"/>
    <w:rsid w:val="1E5D3B4B"/>
    <w:rsid w:val="1EB9030D"/>
    <w:rsid w:val="1F683CEF"/>
    <w:rsid w:val="1F7C1719"/>
    <w:rsid w:val="1FA55F34"/>
    <w:rsid w:val="1FC22AA2"/>
    <w:rsid w:val="208445B0"/>
    <w:rsid w:val="209076E1"/>
    <w:rsid w:val="20F6042F"/>
    <w:rsid w:val="21311468"/>
    <w:rsid w:val="21AE3F87"/>
    <w:rsid w:val="21E67D63"/>
    <w:rsid w:val="23313FB9"/>
    <w:rsid w:val="2412581A"/>
    <w:rsid w:val="24873D47"/>
    <w:rsid w:val="25893620"/>
    <w:rsid w:val="25B05C2C"/>
    <w:rsid w:val="25C146A4"/>
    <w:rsid w:val="25D578A9"/>
    <w:rsid w:val="25F022C7"/>
    <w:rsid w:val="260158AC"/>
    <w:rsid w:val="26CC550E"/>
    <w:rsid w:val="27196C26"/>
    <w:rsid w:val="29417CAA"/>
    <w:rsid w:val="295C62F0"/>
    <w:rsid w:val="29814533"/>
    <w:rsid w:val="298F71FA"/>
    <w:rsid w:val="29AF220A"/>
    <w:rsid w:val="29BD57B3"/>
    <w:rsid w:val="2A5078E5"/>
    <w:rsid w:val="2A97513E"/>
    <w:rsid w:val="2ABC6772"/>
    <w:rsid w:val="2AF32784"/>
    <w:rsid w:val="2AFD1437"/>
    <w:rsid w:val="2C3C72B1"/>
    <w:rsid w:val="2C40206F"/>
    <w:rsid w:val="2C61041B"/>
    <w:rsid w:val="2CB258B9"/>
    <w:rsid w:val="2DFF6B75"/>
    <w:rsid w:val="2F16383D"/>
    <w:rsid w:val="2F687427"/>
    <w:rsid w:val="2FE37BFC"/>
    <w:rsid w:val="302A11B1"/>
    <w:rsid w:val="30406139"/>
    <w:rsid w:val="3047499E"/>
    <w:rsid w:val="30C57FF6"/>
    <w:rsid w:val="3194356F"/>
    <w:rsid w:val="31971912"/>
    <w:rsid w:val="31D65E3F"/>
    <w:rsid w:val="31F42769"/>
    <w:rsid w:val="32AD2E0D"/>
    <w:rsid w:val="33A8380B"/>
    <w:rsid w:val="34796F56"/>
    <w:rsid w:val="34844C31"/>
    <w:rsid w:val="34C85D4B"/>
    <w:rsid w:val="34F32864"/>
    <w:rsid w:val="350C7D9A"/>
    <w:rsid w:val="361D7CED"/>
    <w:rsid w:val="367F6029"/>
    <w:rsid w:val="378105FB"/>
    <w:rsid w:val="37974CEF"/>
    <w:rsid w:val="37A70B41"/>
    <w:rsid w:val="37C141B0"/>
    <w:rsid w:val="37C8322C"/>
    <w:rsid w:val="386562C1"/>
    <w:rsid w:val="387E4B3B"/>
    <w:rsid w:val="39602DB1"/>
    <w:rsid w:val="39901278"/>
    <w:rsid w:val="3A1E1F9E"/>
    <w:rsid w:val="3AE714E0"/>
    <w:rsid w:val="3BDD4C0A"/>
    <w:rsid w:val="3C9B3A82"/>
    <w:rsid w:val="3CDE204C"/>
    <w:rsid w:val="3D5A6409"/>
    <w:rsid w:val="3DC168B9"/>
    <w:rsid w:val="3E81383B"/>
    <w:rsid w:val="3F6D13AD"/>
    <w:rsid w:val="3F8B0C75"/>
    <w:rsid w:val="3FFE7BEC"/>
    <w:rsid w:val="401502E5"/>
    <w:rsid w:val="407A02DD"/>
    <w:rsid w:val="409830E0"/>
    <w:rsid w:val="40D914A8"/>
    <w:rsid w:val="41046F7E"/>
    <w:rsid w:val="414C1C7A"/>
    <w:rsid w:val="416D515A"/>
    <w:rsid w:val="41AA0E43"/>
    <w:rsid w:val="41B63363"/>
    <w:rsid w:val="41CC55A5"/>
    <w:rsid w:val="41EB7DC9"/>
    <w:rsid w:val="41F10698"/>
    <w:rsid w:val="427B074B"/>
    <w:rsid w:val="429A07C3"/>
    <w:rsid w:val="43AC488A"/>
    <w:rsid w:val="44670B0B"/>
    <w:rsid w:val="454D2ACA"/>
    <w:rsid w:val="459D6299"/>
    <w:rsid w:val="45A5569B"/>
    <w:rsid w:val="469153C1"/>
    <w:rsid w:val="476D3B92"/>
    <w:rsid w:val="479F5F15"/>
    <w:rsid w:val="487815EE"/>
    <w:rsid w:val="48EA3B26"/>
    <w:rsid w:val="4904108C"/>
    <w:rsid w:val="49194059"/>
    <w:rsid w:val="499048FE"/>
    <w:rsid w:val="49E25BCB"/>
    <w:rsid w:val="49FC1EF0"/>
    <w:rsid w:val="4A074EC0"/>
    <w:rsid w:val="4A121587"/>
    <w:rsid w:val="4A2246C7"/>
    <w:rsid w:val="4A37100C"/>
    <w:rsid w:val="4BCB44A0"/>
    <w:rsid w:val="4BEB349F"/>
    <w:rsid w:val="4C6B00A8"/>
    <w:rsid w:val="4CEA24E4"/>
    <w:rsid w:val="4CF64CFD"/>
    <w:rsid w:val="4D0B0C3B"/>
    <w:rsid w:val="4D7E76BB"/>
    <w:rsid w:val="4D7F33D7"/>
    <w:rsid w:val="4DEF4E69"/>
    <w:rsid w:val="4E1D66C6"/>
    <w:rsid w:val="4E703038"/>
    <w:rsid w:val="4EB16178"/>
    <w:rsid w:val="4F1630AE"/>
    <w:rsid w:val="4F2A53F1"/>
    <w:rsid w:val="4F680661"/>
    <w:rsid w:val="4FD277EE"/>
    <w:rsid w:val="4FDD7E95"/>
    <w:rsid w:val="5039786D"/>
    <w:rsid w:val="50C02BF5"/>
    <w:rsid w:val="51172A4D"/>
    <w:rsid w:val="51491D32"/>
    <w:rsid w:val="51FB0B52"/>
    <w:rsid w:val="520E3982"/>
    <w:rsid w:val="52742E1D"/>
    <w:rsid w:val="52F164C3"/>
    <w:rsid w:val="540B429C"/>
    <w:rsid w:val="54D122C9"/>
    <w:rsid w:val="55172F00"/>
    <w:rsid w:val="55767585"/>
    <w:rsid w:val="55913C7C"/>
    <w:rsid w:val="55B97F92"/>
    <w:rsid w:val="564D5561"/>
    <w:rsid w:val="56B31B5E"/>
    <w:rsid w:val="5729463B"/>
    <w:rsid w:val="575A499E"/>
    <w:rsid w:val="57BD0C66"/>
    <w:rsid w:val="57C33EC0"/>
    <w:rsid w:val="57CE11E3"/>
    <w:rsid w:val="591A24CC"/>
    <w:rsid w:val="59381A7E"/>
    <w:rsid w:val="59E17885"/>
    <w:rsid w:val="5A0174AA"/>
    <w:rsid w:val="5A284604"/>
    <w:rsid w:val="5A3C4139"/>
    <w:rsid w:val="5A665581"/>
    <w:rsid w:val="5A671258"/>
    <w:rsid w:val="5A89319F"/>
    <w:rsid w:val="5A93401E"/>
    <w:rsid w:val="5B99431E"/>
    <w:rsid w:val="5C097D6C"/>
    <w:rsid w:val="5CDB1CBC"/>
    <w:rsid w:val="5D170F36"/>
    <w:rsid w:val="5D364BA9"/>
    <w:rsid w:val="5DC10FC9"/>
    <w:rsid w:val="5DD91C75"/>
    <w:rsid w:val="5E033269"/>
    <w:rsid w:val="5EA507C4"/>
    <w:rsid w:val="5EA762EA"/>
    <w:rsid w:val="5F45566C"/>
    <w:rsid w:val="5FB23198"/>
    <w:rsid w:val="602C3AFE"/>
    <w:rsid w:val="60FB291D"/>
    <w:rsid w:val="613D2F35"/>
    <w:rsid w:val="61903824"/>
    <w:rsid w:val="61BC564F"/>
    <w:rsid w:val="627E5550"/>
    <w:rsid w:val="62A50737"/>
    <w:rsid w:val="631E72AB"/>
    <w:rsid w:val="63844E4C"/>
    <w:rsid w:val="638A21BF"/>
    <w:rsid w:val="641206A9"/>
    <w:rsid w:val="646A3A96"/>
    <w:rsid w:val="651B358E"/>
    <w:rsid w:val="65416298"/>
    <w:rsid w:val="654F11A7"/>
    <w:rsid w:val="65DA6D16"/>
    <w:rsid w:val="66F23A75"/>
    <w:rsid w:val="6727621A"/>
    <w:rsid w:val="689158B5"/>
    <w:rsid w:val="69492A51"/>
    <w:rsid w:val="697A181F"/>
    <w:rsid w:val="69B10589"/>
    <w:rsid w:val="6A601BEE"/>
    <w:rsid w:val="6A830498"/>
    <w:rsid w:val="6B607F4C"/>
    <w:rsid w:val="6B881251"/>
    <w:rsid w:val="6B9D50F0"/>
    <w:rsid w:val="6C384A25"/>
    <w:rsid w:val="6C4617C3"/>
    <w:rsid w:val="6E184DD8"/>
    <w:rsid w:val="6E331028"/>
    <w:rsid w:val="6E873A42"/>
    <w:rsid w:val="6E921943"/>
    <w:rsid w:val="6E921ED9"/>
    <w:rsid w:val="6E953A13"/>
    <w:rsid w:val="6E9E6CCF"/>
    <w:rsid w:val="6F176B74"/>
    <w:rsid w:val="6F1F7212"/>
    <w:rsid w:val="6F8B1310"/>
    <w:rsid w:val="70B63685"/>
    <w:rsid w:val="71031D89"/>
    <w:rsid w:val="71066EA0"/>
    <w:rsid w:val="725D2A15"/>
    <w:rsid w:val="72972F7A"/>
    <w:rsid w:val="72F679F6"/>
    <w:rsid w:val="7301621E"/>
    <w:rsid w:val="73027B3B"/>
    <w:rsid w:val="7415471E"/>
    <w:rsid w:val="7576137A"/>
    <w:rsid w:val="75B721F9"/>
    <w:rsid w:val="76053F8E"/>
    <w:rsid w:val="765522F0"/>
    <w:rsid w:val="76BC237F"/>
    <w:rsid w:val="774424D0"/>
    <w:rsid w:val="77A749A7"/>
    <w:rsid w:val="77CE2C14"/>
    <w:rsid w:val="78F26941"/>
    <w:rsid w:val="79142376"/>
    <w:rsid w:val="79173DE3"/>
    <w:rsid w:val="7A2B1CB7"/>
    <w:rsid w:val="7A6A5427"/>
    <w:rsid w:val="7AE71153"/>
    <w:rsid w:val="7B3A2210"/>
    <w:rsid w:val="7B4927AB"/>
    <w:rsid w:val="7C491E35"/>
    <w:rsid w:val="7CDB7433"/>
    <w:rsid w:val="7DB26EFB"/>
    <w:rsid w:val="7DD677F9"/>
    <w:rsid w:val="7F015C77"/>
    <w:rsid w:val="7F076C05"/>
    <w:rsid w:val="7F3021E5"/>
    <w:rsid w:val="7F7C1C81"/>
    <w:rsid w:val="7FDF32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5"/>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6"/>
    <w:qFormat/>
    <w:uiPriority w:val="0"/>
    <w:pPr>
      <w:keepNext/>
      <w:keepLines/>
      <w:widowControl w:val="0"/>
      <w:spacing w:before="260" w:after="260" w:line="416" w:lineRule="auto"/>
      <w:jc w:val="both"/>
      <w:outlineLvl w:val="2"/>
    </w:pPr>
    <w:rPr>
      <w:b/>
      <w:bCs/>
      <w:kern w:val="2"/>
      <w:sz w:val="32"/>
      <w:szCs w:val="32"/>
      <w:lang w:val="en-US" w:eastAsia="zh-CN" w:bidi="ar-SA"/>
    </w:rPr>
  </w:style>
  <w:style w:type="paragraph" w:styleId="6">
    <w:name w:val="heading 4"/>
    <w:basedOn w:val="1"/>
    <w:next w:val="1"/>
    <w:link w:val="27"/>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4"/>
    <w:qFormat/>
    <w:uiPriority w:val="0"/>
    <w:pPr>
      <w:widowControl w:val="0"/>
      <w:spacing w:after="120"/>
      <w:jc w:val="both"/>
    </w:pPr>
    <w:rPr>
      <w:rFonts w:ascii="Calibri" w:hAnsi="Calibri"/>
      <w:lang w:val="en-US" w:eastAsia="zh-CN" w:bidi="ar-SA"/>
    </w:rPr>
  </w:style>
  <w:style w:type="paragraph" w:styleId="7">
    <w:name w:val="annotation text"/>
    <w:basedOn w:val="1"/>
    <w:link w:val="28"/>
    <w:qFormat/>
    <w:uiPriority w:val="0"/>
    <w:pPr>
      <w:jc w:val="left"/>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Plain Text"/>
    <w:basedOn w:val="1"/>
    <w:link w:val="29"/>
    <w:qFormat/>
    <w:uiPriority w:val="0"/>
    <w:pPr>
      <w:spacing w:line="240" w:lineRule="auto"/>
      <w:ind w:firstLine="0" w:firstLineChars="0"/>
    </w:pPr>
    <w:rPr>
      <w:rFonts w:ascii="宋体" w:hAnsi="Courier New" w:eastAsia="仿宋_GB2312"/>
      <w:sz w:val="32"/>
      <w:szCs w:val="20"/>
    </w:rPr>
  </w:style>
  <w:style w:type="paragraph" w:styleId="11">
    <w:name w:val="Balloon Text"/>
    <w:basedOn w:val="1"/>
    <w:link w:val="30"/>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6">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Times New Roman"/>
      <w:kern w:val="0"/>
    </w:rPr>
  </w:style>
  <w:style w:type="paragraph" w:styleId="17">
    <w:name w:val="annotation subject"/>
    <w:basedOn w:val="7"/>
    <w:next w:val="7"/>
    <w:link w:val="32"/>
    <w:qFormat/>
    <w:uiPriority w:val="0"/>
    <w:rPr>
      <w:b/>
      <w:bCs/>
    </w:rPr>
  </w:style>
  <w:style w:type="paragraph" w:styleId="18">
    <w:name w:val="Body Text First Indent 2"/>
    <w:basedOn w:val="8"/>
    <w:next w:val="9"/>
    <w:qFormat/>
    <w:uiPriority w:val="0"/>
    <w:pPr>
      <w:ind w:firstLine="420" w:firstLineChars="200"/>
    </w:pPr>
  </w:style>
  <w:style w:type="character" w:styleId="21">
    <w:name w:val="page number"/>
    <w:semiHidden/>
    <w:qFormat/>
    <w:uiPriority w:val="0"/>
  </w:style>
  <w:style w:type="character" w:styleId="22">
    <w:name w:val="Hyperlink"/>
    <w:basedOn w:val="20"/>
    <w:unhideWhenUsed/>
    <w:qFormat/>
    <w:uiPriority w:val="99"/>
    <w:rPr>
      <w:color w:val="0000FF"/>
      <w:u w:val="single"/>
    </w:rPr>
  </w:style>
  <w:style w:type="character" w:styleId="23">
    <w:name w:val="annotation reference"/>
    <w:qFormat/>
    <w:uiPriority w:val="0"/>
    <w:rPr>
      <w:sz w:val="21"/>
      <w:szCs w:val="21"/>
    </w:rPr>
  </w:style>
  <w:style w:type="character" w:customStyle="1" w:styleId="24">
    <w:name w:val="正文文本 Char"/>
    <w:link w:val="2"/>
    <w:qFormat/>
    <w:uiPriority w:val="0"/>
    <w:rPr>
      <w:rFonts w:ascii="Calibri" w:hAnsi="Calibri"/>
    </w:rPr>
  </w:style>
  <w:style w:type="character" w:customStyle="1" w:styleId="25">
    <w:name w:val="标题 2 Char"/>
    <w:link w:val="4"/>
    <w:qFormat/>
    <w:uiPriority w:val="0"/>
    <w:rPr>
      <w:rFonts w:ascii="Cambria" w:hAnsi="Cambria" w:eastAsia="宋体" w:cs="Times New Roman"/>
      <w:b/>
      <w:bCs/>
      <w:kern w:val="2"/>
      <w:sz w:val="32"/>
      <w:szCs w:val="32"/>
    </w:rPr>
  </w:style>
  <w:style w:type="character" w:customStyle="1" w:styleId="26">
    <w:name w:val="标题 3 Char"/>
    <w:link w:val="5"/>
    <w:qFormat/>
    <w:uiPriority w:val="0"/>
    <w:rPr>
      <w:b/>
      <w:bCs/>
      <w:kern w:val="2"/>
      <w:sz w:val="32"/>
      <w:szCs w:val="32"/>
    </w:rPr>
  </w:style>
  <w:style w:type="character" w:customStyle="1" w:styleId="27">
    <w:name w:val="标题 4 Char"/>
    <w:link w:val="6"/>
    <w:qFormat/>
    <w:uiPriority w:val="0"/>
    <w:rPr>
      <w:rFonts w:ascii="Cambria" w:hAnsi="Cambria" w:eastAsia="宋体" w:cs="Times New Roman"/>
      <w:b/>
      <w:bCs/>
      <w:kern w:val="2"/>
      <w:sz w:val="28"/>
      <w:szCs w:val="28"/>
    </w:rPr>
  </w:style>
  <w:style w:type="character" w:customStyle="1" w:styleId="28">
    <w:name w:val="批注文字 Char"/>
    <w:link w:val="7"/>
    <w:qFormat/>
    <w:uiPriority w:val="0"/>
    <w:rPr>
      <w:rFonts w:ascii="Calibri" w:hAnsi="Calibri"/>
      <w:kern w:val="2"/>
      <w:sz w:val="21"/>
      <w:szCs w:val="24"/>
    </w:rPr>
  </w:style>
  <w:style w:type="character" w:customStyle="1" w:styleId="29">
    <w:name w:val="纯文本 Char"/>
    <w:link w:val="10"/>
    <w:qFormat/>
    <w:uiPriority w:val="0"/>
    <w:rPr>
      <w:rFonts w:ascii="宋体" w:hAnsi="Courier New" w:eastAsia="仿宋_GB2312"/>
      <w:kern w:val="2"/>
      <w:sz w:val="32"/>
    </w:rPr>
  </w:style>
  <w:style w:type="character" w:customStyle="1" w:styleId="30">
    <w:name w:val="批注框文本 Char"/>
    <w:link w:val="11"/>
    <w:qFormat/>
    <w:uiPriority w:val="0"/>
    <w:rPr>
      <w:rFonts w:ascii="Calibri" w:hAnsi="Calibri"/>
      <w:kern w:val="2"/>
      <w:sz w:val="18"/>
      <w:szCs w:val="18"/>
    </w:rPr>
  </w:style>
  <w:style w:type="character" w:customStyle="1" w:styleId="31">
    <w:name w:val="页脚 Char"/>
    <w:link w:val="12"/>
    <w:qFormat/>
    <w:uiPriority w:val="99"/>
    <w:rPr>
      <w:rFonts w:ascii="Calibri" w:hAnsi="Calibri"/>
      <w:kern w:val="2"/>
      <w:sz w:val="18"/>
      <w:szCs w:val="24"/>
    </w:rPr>
  </w:style>
  <w:style w:type="character" w:customStyle="1" w:styleId="32">
    <w:name w:val="批注主题 Char"/>
    <w:link w:val="17"/>
    <w:qFormat/>
    <w:uiPriority w:val="0"/>
    <w:rPr>
      <w:rFonts w:ascii="Calibri" w:hAnsi="Calibri"/>
      <w:b/>
      <w:bCs/>
      <w:kern w:val="2"/>
      <w:sz w:val="21"/>
      <w:szCs w:val="24"/>
    </w:rPr>
  </w:style>
  <w:style w:type="paragraph" w:customStyle="1" w:styleId="33">
    <w:name w:val="标题 5（有编号）（绿盟科技）"/>
    <w:basedOn w:val="1"/>
    <w:next w:val="3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列出段落1"/>
    <w:basedOn w:val="1"/>
    <w:qFormat/>
    <w:uiPriority w:val="34"/>
    <w:pPr>
      <w:ind w:firstLine="420" w:firstLineChars="200"/>
    </w:pPr>
    <w:rPr>
      <w:rFonts w:ascii="Times New Roman" w:hAnsi="Times New Roman"/>
    </w:rPr>
  </w:style>
  <w:style w:type="paragraph" w:customStyle="1" w:styleId="36">
    <w:name w:val="_Style 35"/>
    <w:basedOn w:val="3"/>
    <w:next w:val="1"/>
    <w:unhideWhenUsed/>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37">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8">
    <w:name w:val="Body text|1"/>
    <w:basedOn w:val="1"/>
    <w:qFormat/>
    <w:uiPriority w:val="0"/>
    <w:pPr>
      <w:spacing w:line="379" w:lineRule="auto"/>
      <w:ind w:firstLine="400"/>
    </w:pPr>
    <w:rPr>
      <w:rFonts w:ascii="宋体" w:hAnsi="宋体" w:eastAsia="宋体" w:cs="宋体"/>
      <w:color w:val="2F2C2C"/>
      <w:sz w:val="30"/>
      <w:szCs w:val="30"/>
      <w:lang w:val="zh-TW" w:eastAsia="zh-TW" w:bidi="zh-TW"/>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19984</Words>
  <Characters>22419</Characters>
  <Lines>39</Lines>
  <Paragraphs>10</Paragraphs>
  <TotalTime>0</TotalTime>
  <ScaleCrop>false</ScaleCrop>
  <LinksUpToDate>false</LinksUpToDate>
  <CharactersWithSpaces>22619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2022-04-02T07:00:00Z</dcterms:created>
  <dc:creator>Administrator</dc:creator>
  <cp:lastModifiedBy>Administrator</cp:lastModifiedBy>
  <cp:lastPrinted>2020-12-16T07:51:00Z</cp:lastPrinted>
  <dcterms:modified xsi:type="dcterms:W3CDTF">2022-12-12T04:07:53Z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B5AAC7C5013D4209AEE2D7726FAA093C</vt:lpwstr>
  </property>
</Properties>
</file>