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仿宋_GB2312" w:eastAsia="黑体" w:cs="仿宋_GB2312"/>
          <w:sz w:val="72"/>
          <w:szCs w:val="72"/>
        </w:rPr>
      </w:pPr>
    </w:p>
    <w:p>
      <w:pPr>
        <w:jc w:val="both"/>
        <w:rPr>
          <w:rFonts w:ascii="黑体" w:hAnsi="仿宋_GB2312" w:eastAsia="黑体" w:cs="仿宋_GB2312"/>
          <w:sz w:val="52"/>
          <w:szCs w:val="52"/>
        </w:rPr>
      </w:pPr>
    </w:p>
    <w:p>
      <w:pPr>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察隅县下察隅镇人民政府</w:t>
      </w:r>
    </w:p>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1</w:t>
      </w:r>
      <w:r>
        <w:rPr>
          <w:rFonts w:hint="eastAsia" w:ascii="方正小标宋简体" w:hAnsi="方正小标宋简体" w:eastAsia="方正小标宋简体" w:cs="方正小标宋简体"/>
          <w:b/>
          <w:bCs/>
          <w:sz w:val="44"/>
          <w:szCs w:val="44"/>
        </w:rPr>
        <w:t>年度部门决算公开</w:t>
      </w:r>
    </w:p>
    <w:p>
      <w:pPr>
        <w:jc w:val="center"/>
        <w:rPr>
          <w:rFonts w:ascii="黑体" w:hAnsi="仿宋_GB2312" w:eastAsia="黑体" w:cs="仿宋_GB2312"/>
          <w:sz w:val="44"/>
          <w:szCs w:val="44"/>
        </w:rPr>
      </w:pPr>
    </w:p>
    <w:p>
      <w:pPr>
        <w:jc w:val="center"/>
        <w:rPr>
          <w:rFonts w:ascii="黑体" w:hAnsi="仿宋_GB2312" w:eastAsia="黑体" w:cs="仿宋_GB2312"/>
          <w:sz w:val="44"/>
          <w:szCs w:val="44"/>
        </w:rPr>
      </w:pPr>
    </w:p>
    <w:p>
      <w:pPr>
        <w:jc w:val="center"/>
        <w:rPr>
          <w:rFonts w:ascii="黑体" w:hAnsi="仿宋_GB2312" w:eastAsia="黑体" w:cs="仿宋_GB2312"/>
          <w:sz w:val="44"/>
          <w:szCs w:val="44"/>
        </w:rPr>
      </w:pPr>
    </w:p>
    <w:p>
      <w:pPr>
        <w:jc w:val="center"/>
        <w:rPr>
          <w:rFonts w:ascii="黑体" w:hAnsi="仿宋_GB2312" w:eastAsia="黑体" w:cs="仿宋_GB2312"/>
          <w:sz w:val="44"/>
          <w:szCs w:val="44"/>
        </w:rPr>
      </w:pPr>
    </w:p>
    <w:p>
      <w:pPr>
        <w:jc w:val="center"/>
        <w:rPr>
          <w:rFonts w:ascii="黑体" w:hAnsi="仿宋_GB2312" w:eastAsia="黑体" w:cs="仿宋_GB2312"/>
          <w:sz w:val="44"/>
          <w:szCs w:val="44"/>
        </w:rPr>
      </w:pPr>
    </w:p>
    <w:p>
      <w:pPr>
        <w:jc w:val="center"/>
        <w:rPr>
          <w:rFonts w:ascii="黑体" w:hAnsi="仿宋_GB2312" w:eastAsia="黑体" w:cs="仿宋_GB2312"/>
          <w:sz w:val="44"/>
          <w:szCs w:val="44"/>
        </w:rPr>
      </w:pPr>
    </w:p>
    <w:p>
      <w:pPr>
        <w:jc w:val="center"/>
        <w:rPr>
          <w:rFonts w:ascii="黑体" w:hAnsi="仿宋_GB2312" w:eastAsia="黑体" w:cs="仿宋_GB2312"/>
          <w:sz w:val="44"/>
          <w:szCs w:val="44"/>
        </w:rPr>
      </w:pPr>
    </w:p>
    <w:p>
      <w:pPr>
        <w:rPr>
          <w:rFonts w:ascii="黑体" w:hAnsi="仿宋_GB2312" w:eastAsia="黑体" w:cs="仿宋_GB2312"/>
          <w:sz w:val="44"/>
          <w:szCs w:val="44"/>
        </w:rPr>
      </w:pPr>
    </w:p>
    <w:p>
      <w:pPr>
        <w:rPr>
          <w:rFonts w:ascii="黑体" w:hAnsi="仿宋_GB2312" w:eastAsia="黑体" w:cs="仿宋_GB2312"/>
          <w:sz w:val="44"/>
          <w:szCs w:val="44"/>
        </w:rPr>
      </w:pPr>
    </w:p>
    <w:p>
      <w:pPr>
        <w:rPr>
          <w:rFonts w:ascii="黑体" w:hAnsi="仿宋_GB2312" w:eastAsia="黑体" w:cs="仿宋_GB2312"/>
          <w:sz w:val="44"/>
          <w:szCs w:val="44"/>
        </w:rPr>
      </w:pPr>
    </w:p>
    <w:p>
      <w:pPr>
        <w:rPr>
          <w:rFonts w:ascii="黑体" w:hAnsi="仿宋_GB2312" w:eastAsia="黑体" w:cs="仿宋_GB2312"/>
          <w:sz w:val="44"/>
          <w:szCs w:val="44"/>
        </w:rPr>
      </w:pPr>
    </w:p>
    <w:p>
      <w:pPr>
        <w:rPr>
          <w:rFonts w:ascii="黑体" w:hAnsi="仿宋_GB2312" w:eastAsia="黑体" w:cs="仿宋_GB2312"/>
          <w:sz w:val="44"/>
          <w:szCs w:val="44"/>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p>
    <w:p>
      <w:pPr>
        <w:jc w:val="both"/>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jc w:val="center"/>
        <w:rPr>
          <w:rFonts w:hint="eastAsia" w:ascii="黑体" w:hAnsi="仿宋_GB2312" w:eastAsia="黑体" w:cs="仿宋_GB2312"/>
          <w:sz w:val="36"/>
          <w:szCs w:val="36"/>
        </w:rPr>
      </w:pP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黑体" w:hAnsi="黑体" w:eastAsia="黑体" w:cs="黑体"/>
          <w:b w:val="0"/>
          <w:bCs/>
          <w:snapToGrid w:val="0"/>
          <w:w w:val="95"/>
          <w:kern w:val="0"/>
          <w:sz w:val="32"/>
          <w:szCs w:val="32"/>
        </w:rPr>
      </w:pPr>
      <w:r>
        <w:rPr>
          <w:rFonts w:hint="eastAsia" w:ascii="黑体" w:hAnsi="黑体" w:eastAsia="黑体" w:cs="黑体"/>
          <w:b w:val="0"/>
          <w:bCs/>
          <w:snapToGrid w:val="0"/>
          <w:w w:val="95"/>
          <w:kern w:val="0"/>
          <w:sz w:val="32"/>
          <w:szCs w:val="32"/>
        </w:rPr>
        <w:t xml:space="preserve">第一部分 </w:t>
      </w:r>
      <w:r>
        <w:rPr>
          <w:rFonts w:hint="eastAsia" w:ascii="黑体" w:hAnsi="黑体" w:eastAsia="黑体" w:cs="黑体"/>
          <w:b w:val="0"/>
          <w:bCs/>
          <w:snapToGrid w:val="0"/>
          <w:w w:val="95"/>
          <w:kern w:val="0"/>
          <w:sz w:val="32"/>
          <w:szCs w:val="32"/>
          <w:lang w:eastAsia="zh-CN"/>
        </w:rPr>
        <w:t>察隅县下察隅镇人民政府</w:t>
      </w:r>
      <w:r>
        <w:rPr>
          <w:rFonts w:hint="eastAsia" w:ascii="黑体" w:hAnsi="黑体" w:eastAsia="黑体" w:cs="黑体"/>
          <w:b w:val="0"/>
          <w:bCs/>
          <w:snapToGrid w:val="0"/>
          <w:w w:val="95"/>
          <w:kern w:val="0"/>
          <w:sz w:val="32"/>
          <w:szCs w:val="32"/>
        </w:rPr>
        <w:t>概况</w:t>
      </w:r>
    </w:p>
    <w:p>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一、</w:t>
      </w:r>
      <w:r>
        <w:rPr>
          <w:rFonts w:hint="eastAsia" w:ascii="仿宋_GB2312" w:hAnsi="仿宋_GB2312" w:eastAsia="仿宋_GB2312" w:cs="仿宋_GB2312"/>
          <w:bCs/>
          <w:sz w:val="32"/>
          <w:szCs w:val="32"/>
        </w:rPr>
        <w:t>部门</w:t>
      </w:r>
      <w:r>
        <w:rPr>
          <w:rFonts w:hint="eastAsia" w:ascii="仿宋_GB2312" w:hAnsi="仿宋_GB2312" w:eastAsia="仿宋_GB2312" w:cs="仿宋_GB2312"/>
          <w:bCs/>
          <w:sz w:val="32"/>
          <w:szCs w:val="32"/>
          <w:lang w:eastAsia="zh-CN"/>
        </w:rPr>
        <w:t>职责</w:t>
      </w:r>
    </w:p>
    <w:p>
      <w:pPr>
        <w:keepNext w:val="0"/>
        <w:keepLines w:val="0"/>
        <w:pageBreakBefore w:val="0"/>
        <w:kinsoku/>
        <w:wordWrap/>
        <w:overflowPunct/>
        <w:topLinePunct w:val="0"/>
        <w:autoSpaceDE/>
        <w:autoSpaceDN/>
        <w:bidi w:val="0"/>
        <w:spacing w:line="560" w:lineRule="exac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二、</w:t>
      </w:r>
      <w:r>
        <w:rPr>
          <w:rFonts w:hint="eastAsia" w:ascii="仿宋_GB2312" w:hAnsi="仿宋_GB2312" w:eastAsia="仿宋_GB2312" w:cs="仿宋_GB2312"/>
          <w:bCs/>
          <w:sz w:val="32"/>
          <w:szCs w:val="32"/>
        </w:rPr>
        <w:t>机构设置</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黑体" w:hAnsi="黑体" w:eastAsia="黑体" w:cs="黑体"/>
          <w:b w:val="0"/>
          <w:bCs/>
          <w:snapToGrid w:val="0"/>
          <w:w w:val="95"/>
          <w:kern w:val="0"/>
          <w:sz w:val="32"/>
          <w:szCs w:val="32"/>
        </w:rPr>
      </w:pPr>
      <w:r>
        <w:rPr>
          <w:rFonts w:hint="eastAsia" w:ascii="黑体" w:hAnsi="黑体" w:eastAsia="黑体" w:cs="黑体"/>
          <w:b w:val="0"/>
          <w:bCs/>
          <w:snapToGrid w:val="0"/>
          <w:w w:val="95"/>
          <w:kern w:val="0"/>
          <w:sz w:val="32"/>
          <w:szCs w:val="32"/>
        </w:rPr>
        <w:t xml:space="preserve">第二部分 </w:t>
      </w:r>
      <w:r>
        <w:rPr>
          <w:rFonts w:hint="eastAsia" w:ascii="黑体" w:hAnsi="黑体" w:eastAsia="黑体" w:cs="黑体"/>
          <w:b w:val="0"/>
          <w:bCs/>
          <w:snapToGrid w:val="0"/>
          <w:w w:val="95"/>
          <w:kern w:val="0"/>
          <w:sz w:val="32"/>
          <w:szCs w:val="32"/>
          <w:lang w:eastAsia="zh-CN"/>
        </w:rPr>
        <w:t>察隅县下察隅镇人民政府</w:t>
      </w:r>
      <w:r>
        <w:rPr>
          <w:rFonts w:hint="eastAsia" w:ascii="黑体" w:hAnsi="黑体" w:eastAsia="黑体" w:cs="黑体"/>
          <w:b w:val="0"/>
          <w:bCs/>
          <w:snapToGrid w:val="0"/>
          <w:w w:val="95"/>
          <w:kern w:val="0"/>
          <w:sz w:val="32"/>
          <w:szCs w:val="32"/>
        </w:rPr>
        <w:t>202</w:t>
      </w:r>
      <w:r>
        <w:rPr>
          <w:rFonts w:hint="eastAsia" w:ascii="黑体" w:hAnsi="黑体" w:eastAsia="黑体" w:cs="黑体"/>
          <w:b w:val="0"/>
          <w:bCs/>
          <w:snapToGrid w:val="0"/>
          <w:w w:val="95"/>
          <w:kern w:val="0"/>
          <w:sz w:val="32"/>
          <w:szCs w:val="32"/>
          <w:lang w:val="en-US" w:eastAsia="zh-CN"/>
        </w:rPr>
        <w:t>1</w:t>
      </w:r>
      <w:r>
        <w:rPr>
          <w:rFonts w:hint="eastAsia" w:ascii="黑体" w:hAnsi="黑体" w:eastAsia="黑体" w:cs="黑体"/>
          <w:b w:val="0"/>
          <w:bCs/>
          <w:snapToGrid w:val="0"/>
          <w:w w:val="95"/>
          <w:kern w:val="0"/>
          <w:sz w:val="32"/>
          <w:szCs w:val="32"/>
        </w:rPr>
        <w:t xml:space="preserve">年度部门决算明细表 </w:t>
      </w:r>
    </w:p>
    <w:p>
      <w:pPr>
        <w:pStyle w:val="12"/>
        <w:keepNext w:val="0"/>
        <w:keepLines w:val="0"/>
        <w:pageBreakBefore w:val="0"/>
        <w:kinsoku/>
        <w:wordWrap/>
        <w:overflowPunct/>
        <w:topLinePunct w:val="0"/>
        <w:autoSpaceDE/>
        <w:autoSpaceDN/>
        <w:bidi w:val="0"/>
        <w:spacing w:line="560" w:lineRule="exact"/>
        <w:ind w:left="0" w:leftChars="0"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2"/>
        <w:keepNext w:val="0"/>
        <w:keepLines w:val="0"/>
        <w:pageBreakBefore w:val="0"/>
        <w:kinsoku/>
        <w:wordWrap/>
        <w:overflowPunct/>
        <w:topLinePunct w:val="0"/>
        <w:autoSpaceDE/>
        <w:autoSpaceDN/>
        <w:bidi w:val="0"/>
        <w:spacing w:line="560" w:lineRule="exact"/>
        <w:ind w:left="0" w:leftChars="0"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二、收入决算总表</w:t>
      </w:r>
    </w:p>
    <w:p>
      <w:pPr>
        <w:pStyle w:val="12"/>
        <w:keepNext w:val="0"/>
        <w:keepLines w:val="0"/>
        <w:pageBreakBefore w:val="0"/>
        <w:kinsoku/>
        <w:wordWrap/>
        <w:overflowPunct/>
        <w:topLinePunct w:val="0"/>
        <w:autoSpaceDE/>
        <w:autoSpaceDN/>
        <w:bidi w:val="0"/>
        <w:spacing w:line="560" w:lineRule="exact"/>
        <w:ind w:left="0" w:leftChars="0"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三、支出决算总表</w:t>
      </w:r>
    </w:p>
    <w:p>
      <w:pPr>
        <w:pStyle w:val="12"/>
        <w:keepNext w:val="0"/>
        <w:keepLines w:val="0"/>
        <w:pageBreakBefore w:val="0"/>
        <w:kinsoku/>
        <w:wordWrap/>
        <w:overflowPunct/>
        <w:topLinePunct w:val="0"/>
        <w:autoSpaceDE/>
        <w:autoSpaceDN/>
        <w:bidi w:val="0"/>
        <w:spacing w:line="560" w:lineRule="exact"/>
        <w:ind w:left="0" w:leftChars="0"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w:t>
      </w:r>
      <w:r>
        <w:rPr>
          <w:rFonts w:hint="eastAsia" w:ascii="仿宋_GB2312" w:hAnsi="仿宋_GB2312" w:eastAsia="仿宋_GB2312" w:cs="仿宋_GB2312"/>
          <w:sz w:val="32"/>
          <w:szCs w:val="32"/>
          <w:lang w:eastAsia="zh-CN"/>
        </w:rPr>
        <w:t>收入支出</w:t>
      </w:r>
      <w:r>
        <w:rPr>
          <w:rFonts w:hint="eastAsia" w:ascii="仿宋_GB2312" w:hAnsi="仿宋_GB2312" w:eastAsia="仿宋_GB2312" w:cs="仿宋_GB2312"/>
          <w:sz w:val="32"/>
          <w:szCs w:val="32"/>
        </w:rPr>
        <w:t>决算总表</w:t>
      </w:r>
    </w:p>
    <w:p>
      <w:pPr>
        <w:pStyle w:val="12"/>
        <w:keepNext w:val="0"/>
        <w:keepLines w:val="0"/>
        <w:pageBreakBefore w:val="0"/>
        <w:kinsoku/>
        <w:wordWrap/>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pPr>
        <w:pStyle w:val="12"/>
        <w:keepNext w:val="0"/>
        <w:keepLines w:val="0"/>
        <w:pageBreakBefore w:val="0"/>
        <w:kinsoku/>
        <w:wordWrap/>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六、一般公共预算财政拨款基本支出决算表</w:t>
      </w:r>
    </w:p>
    <w:p>
      <w:pPr>
        <w:pStyle w:val="12"/>
        <w:keepNext w:val="0"/>
        <w:keepLines w:val="0"/>
        <w:pageBreakBefore w:val="0"/>
        <w:kinsoku/>
        <w:wordWrap/>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七、一般公共预算财政拨款“三公”经费支出决算表</w:t>
      </w:r>
    </w:p>
    <w:p>
      <w:pPr>
        <w:pStyle w:val="12"/>
        <w:keepNext w:val="0"/>
        <w:keepLines w:val="0"/>
        <w:pageBreakBefore w:val="0"/>
        <w:kinsoku/>
        <w:wordWrap/>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八、政府性基金预算财政拨款</w:t>
      </w:r>
      <w:r>
        <w:rPr>
          <w:rFonts w:hint="eastAsia" w:ascii="仿宋_GB2312" w:hAnsi="仿宋_GB2312" w:eastAsia="仿宋_GB2312" w:cs="仿宋_GB2312"/>
          <w:sz w:val="32"/>
          <w:szCs w:val="32"/>
          <w:lang w:eastAsia="zh-CN"/>
        </w:rPr>
        <w:t>收入支出</w:t>
      </w:r>
      <w:r>
        <w:rPr>
          <w:rFonts w:hint="eastAsia" w:ascii="仿宋_GB2312" w:hAnsi="仿宋_GB2312" w:eastAsia="仿宋_GB2312" w:cs="仿宋_GB2312"/>
          <w:sz w:val="32"/>
          <w:szCs w:val="32"/>
        </w:rPr>
        <w:t>决算表</w:t>
      </w:r>
    </w:p>
    <w:p>
      <w:pPr>
        <w:pStyle w:val="12"/>
        <w:keepNext w:val="0"/>
        <w:keepLines w:val="0"/>
        <w:pageBreakBefore w:val="0"/>
        <w:kinsoku/>
        <w:wordWrap/>
        <w:overflowPunct/>
        <w:topLinePunct w:val="0"/>
        <w:autoSpaceDE/>
        <w:autoSpaceDN/>
        <w:bidi w:val="0"/>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九、国有资本经营预算财政拨款支出决算表</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黑体" w:hAnsi="黑体" w:eastAsia="黑体" w:cs="黑体"/>
          <w:b w:val="0"/>
          <w:bCs/>
          <w:snapToGrid w:val="0"/>
          <w:w w:val="95"/>
          <w:kern w:val="0"/>
          <w:sz w:val="32"/>
          <w:szCs w:val="32"/>
        </w:rPr>
      </w:pPr>
      <w:r>
        <w:rPr>
          <w:rFonts w:hint="eastAsia" w:ascii="黑体" w:hAnsi="黑体" w:eastAsia="黑体" w:cs="黑体"/>
          <w:b w:val="0"/>
          <w:bCs/>
          <w:snapToGrid w:val="0"/>
          <w:w w:val="95"/>
          <w:kern w:val="0"/>
          <w:sz w:val="32"/>
          <w:szCs w:val="32"/>
        </w:rPr>
        <w:t xml:space="preserve">第三部分 </w:t>
      </w:r>
      <w:r>
        <w:rPr>
          <w:rFonts w:hint="eastAsia" w:ascii="黑体" w:hAnsi="黑体" w:eastAsia="黑体" w:cs="黑体"/>
          <w:b w:val="0"/>
          <w:bCs/>
          <w:snapToGrid w:val="0"/>
          <w:w w:val="95"/>
          <w:kern w:val="0"/>
          <w:sz w:val="32"/>
          <w:szCs w:val="32"/>
          <w:lang w:eastAsia="zh-CN"/>
        </w:rPr>
        <w:t>察隅县下察隅镇人民政府</w:t>
      </w:r>
      <w:r>
        <w:rPr>
          <w:rFonts w:hint="eastAsia" w:ascii="黑体" w:hAnsi="黑体" w:eastAsia="黑体" w:cs="黑体"/>
          <w:b w:val="0"/>
          <w:bCs/>
          <w:snapToGrid w:val="0"/>
          <w:w w:val="95"/>
          <w:kern w:val="0"/>
          <w:sz w:val="32"/>
          <w:szCs w:val="32"/>
        </w:rPr>
        <w:t>202</w:t>
      </w:r>
      <w:r>
        <w:rPr>
          <w:rFonts w:hint="eastAsia" w:ascii="黑体" w:hAnsi="黑体" w:eastAsia="黑体" w:cs="黑体"/>
          <w:b w:val="0"/>
          <w:bCs/>
          <w:snapToGrid w:val="0"/>
          <w:w w:val="95"/>
          <w:kern w:val="0"/>
          <w:sz w:val="32"/>
          <w:szCs w:val="32"/>
          <w:lang w:val="en-US" w:eastAsia="zh-CN"/>
        </w:rPr>
        <w:t>1</w:t>
      </w:r>
      <w:r>
        <w:rPr>
          <w:rFonts w:hint="eastAsia" w:ascii="黑体" w:hAnsi="黑体" w:eastAsia="黑体" w:cs="黑体"/>
          <w:b w:val="0"/>
          <w:bCs/>
          <w:snapToGrid w:val="0"/>
          <w:w w:val="95"/>
          <w:kern w:val="0"/>
          <w:sz w:val="32"/>
          <w:szCs w:val="32"/>
        </w:rPr>
        <w:t>年度部门决算数据说明</w:t>
      </w:r>
    </w:p>
    <w:p>
      <w:pPr>
        <w:keepNext w:val="0"/>
        <w:keepLines w:val="0"/>
        <w:pageBreakBefore w:val="0"/>
        <w:kinsoku/>
        <w:wordWrap/>
        <w:overflowPunct/>
        <w:topLinePunct w:val="0"/>
        <w:autoSpaceDE/>
        <w:autoSpaceDN/>
        <w:bidi w:val="0"/>
        <w:spacing w:line="560" w:lineRule="exact"/>
        <w:jc w:val="left"/>
        <w:textAlignment w:val="auto"/>
        <w:rPr>
          <w:rFonts w:ascii="仿宋_GB2312" w:eastAsia="仿宋_GB2312"/>
          <w:sz w:val="32"/>
          <w:szCs w:val="32"/>
        </w:rPr>
      </w:pPr>
      <w:r>
        <w:rPr>
          <w:rFonts w:hint="eastAsia" w:ascii="仿宋_GB2312" w:eastAsia="仿宋_GB2312"/>
          <w:sz w:val="32"/>
          <w:szCs w:val="32"/>
        </w:rPr>
        <w:t>一、收入支出</w:t>
      </w:r>
      <w:r>
        <w:rPr>
          <w:rFonts w:hint="eastAsia" w:ascii="仿宋_GB2312" w:hAnsi="仿宋_GB2312" w:eastAsia="仿宋_GB2312" w:cs="仿宋_GB2312"/>
          <w:sz w:val="32"/>
          <w:szCs w:val="32"/>
        </w:rPr>
        <w:t>决算</w:t>
      </w:r>
      <w:r>
        <w:rPr>
          <w:rFonts w:hint="eastAsia" w:ascii="仿宋_GB2312" w:eastAsia="仿宋_GB2312"/>
          <w:sz w:val="32"/>
          <w:szCs w:val="32"/>
        </w:rPr>
        <w:t>总体情况说明</w:t>
      </w:r>
    </w:p>
    <w:p>
      <w:pPr>
        <w:keepNext w:val="0"/>
        <w:keepLines w:val="0"/>
        <w:pageBreakBefore w:val="0"/>
        <w:kinsoku/>
        <w:wordWrap/>
        <w:overflowPunct/>
        <w:topLinePunct w:val="0"/>
        <w:autoSpaceDE/>
        <w:autoSpaceDN/>
        <w:bidi w:val="0"/>
        <w:spacing w:line="560" w:lineRule="exact"/>
        <w:jc w:val="left"/>
        <w:textAlignment w:val="auto"/>
        <w:rPr>
          <w:rFonts w:ascii="仿宋_GB2312" w:eastAsia="仿宋_GB2312"/>
          <w:sz w:val="32"/>
          <w:szCs w:val="32"/>
        </w:rPr>
      </w:pPr>
      <w:r>
        <w:rPr>
          <w:rFonts w:hint="eastAsia" w:ascii="仿宋_GB2312" w:eastAsia="仿宋_GB2312"/>
          <w:sz w:val="32"/>
          <w:szCs w:val="32"/>
        </w:rPr>
        <w:t>二、收入</w:t>
      </w:r>
      <w:r>
        <w:rPr>
          <w:rFonts w:hint="eastAsia" w:ascii="仿宋_GB2312" w:hAnsi="仿宋_GB2312" w:eastAsia="仿宋_GB2312" w:cs="仿宋_GB2312"/>
          <w:sz w:val="32"/>
          <w:szCs w:val="32"/>
        </w:rPr>
        <w:t>决算</w:t>
      </w:r>
      <w:r>
        <w:rPr>
          <w:rFonts w:hint="eastAsia" w:ascii="仿宋_GB2312" w:eastAsia="仿宋_GB2312"/>
          <w:sz w:val="32"/>
          <w:szCs w:val="32"/>
        </w:rPr>
        <w:t>情况说明</w:t>
      </w:r>
    </w:p>
    <w:p>
      <w:pPr>
        <w:keepNext w:val="0"/>
        <w:keepLines w:val="0"/>
        <w:pageBreakBefore w:val="0"/>
        <w:kinsoku/>
        <w:wordWrap/>
        <w:overflowPunct/>
        <w:topLinePunct w:val="0"/>
        <w:autoSpaceDE/>
        <w:autoSpaceDN/>
        <w:bidi w:val="0"/>
        <w:spacing w:line="560" w:lineRule="exact"/>
        <w:jc w:val="left"/>
        <w:textAlignment w:val="auto"/>
        <w:rPr>
          <w:rFonts w:ascii="仿宋_GB2312" w:eastAsia="仿宋_GB2312"/>
          <w:sz w:val="32"/>
          <w:szCs w:val="32"/>
        </w:rPr>
      </w:pPr>
      <w:r>
        <w:rPr>
          <w:rFonts w:hint="eastAsia" w:ascii="仿宋_GB2312" w:eastAsia="仿宋_GB2312"/>
          <w:sz w:val="32"/>
          <w:szCs w:val="32"/>
        </w:rPr>
        <w:t>三、支出</w:t>
      </w:r>
      <w:r>
        <w:rPr>
          <w:rFonts w:hint="eastAsia" w:ascii="仿宋_GB2312" w:hAnsi="仿宋_GB2312" w:eastAsia="仿宋_GB2312" w:cs="仿宋_GB2312"/>
          <w:sz w:val="32"/>
          <w:szCs w:val="32"/>
        </w:rPr>
        <w:t>决算</w:t>
      </w:r>
      <w:r>
        <w:rPr>
          <w:rFonts w:hint="eastAsia" w:ascii="仿宋_GB2312" w:eastAsia="仿宋_GB2312"/>
          <w:sz w:val="32"/>
          <w:szCs w:val="32"/>
        </w:rPr>
        <w:t>情况说明</w:t>
      </w:r>
    </w:p>
    <w:p>
      <w:pPr>
        <w:keepNext w:val="0"/>
        <w:keepLines w:val="0"/>
        <w:pageBreakBefore w:val="0"/>
        <w:kinsoku/>
        <w:wordWrap/>
        <w:overflowPunct/>
        <w:topLinePunct w:val="0"/>
        <w:autoSpaceDE/>
        <w:autoSpaceDN/>
        <w:bidi w:val="0"/>
        <w:spacing w:line="560" w:lineRule="exact"/>
        <w:jc w:val="left"/>
        <w:textAlignment w:val="auto"/>
        <w:rPr>
          <w:rFonts w:ascii="仿宋_GB2312" w:eastAsia="仿宋_GB2312"/>
          <w:sz w:val="32"/>
          <w:szCs w:val="32"/>
        </w:rPr>
      </w:pPr>
      <w:r>
        <w:rPr>
          <w:rFonts w:hint="eastAsia" w:ascii="仿宋_GB2312" w:eastAsia="仿宋_GB2312"/>
          <w:sz w:val="32"/>
          <w:szCs w:val="32"/>
        </w:rPr>
        <w:t>四、财政拨款收入支出</w:t>
      </w:r>
      <w:r>
        <w:rPr>
          <w:rFonts w:hint="eastAsia" w:ascii="仿宋_GB2312" w:hAnsi="仿宋_GB2312" w:eastAsia="仿宋_GB2312" w:cs="仿宋_GB2312"/>
          <w:sz w:val="32"/>
          <w:szCs w:val="32"/>
        </w:rPr>
        <w:t>决算</w:t>
      </w:r>
      <w:r>
        <w:rPr>
          <w:rFonts w:hint="eastAsia" w:ascii="仿宋_GB2312" w:eastAsia="仿宋_GB2312"/>
          <w:sz w:val="32"/>
          <w:szCs w:val="32"/>
        </w:rPr>
        <w:t>总体情况说明</w:t>
      </w:r>
    </w:p>
    <w:p>
      <w:pPr>
        <w:keepNext w:val="0"/>
        <w:keepLines w:val="0"/>
        <w:pageBreakBefore w:val="0"/>
        <w:kinsoku/>
        <w:wordWrap/>
        <w:overflowPunct/>
        <w:topLinePunct w:val="0"/>
        <w:autoSpaceDE/>
        <w:autoSpaceDN/>
        <w:bidi w:val="0"/>
        <w:spacing w:line="560" w:lineRule="exact"/>
        <w:jc w:val="left"/>
        <w:textAlignment w:val="auto"/>
        <w:rPr>
          <w:rFonts w:ascii="仿宋_GB2312" w:eastAsia="仿宋_GB2312"/>
          <w:sz w:val="32"/>
          <w:szCs w:val="32"/>
        </w:rPr>
      </w:pPr>
      <w:r>
        <w:rPr>
          <w:rFonts w:hint="eastAsia" w:ascii="仿宋_GB2312" w:eastAsia="仿宋_GB2312"/>
          <w:sz w:val="32"/>
          <w:szCs w:val="32"/>
        </w:rPr>
        <w:t>五、一般公共预算财政拨款支出</w:t>
      </w:r>
      <w:r>
        <w:rPr>
          <w:rFonts w:hint="eastAsia" w:ascii="仿宋_GB2312" w:hAnsi="仿宋_GB2312" w:eastAsia="仿宋_GB2312" w:cs="仿宋_GB2312"/>
          <w:sz w:val="32"/>
          <w:szCs w:val="32"/>
        </w:rPr>
        <w:t>决算</w:t>
      </w:r>
      <w:r>
        <w:rPr>
          <w:rFonts w:hint="eastAsia" w:ascii="仿宋_GB2312" w:eastAsia="仿宋_GB2312"/>
          <w:sz w:val="32"/>
          <w:szCs w:val="32"/>
        </w:rPr>
        <w:t>情况说明</w:t>
      </w:r>
    </w:p>
    <w:p>
      <w:pPr>
        <w:keepNext w:val="0"/>
        <w:keepLines w:val="0"/>
        <w:pageBreakBefore w:val="0"/>
        <w:kinsoku/>
        <w:wordWrap/>
        <w:overflowPunct/>
        <w:topLinePunct w:val="0"/>
        <w:autoSpaceDE/>
        <w:autoSpaceDN/>
        <w:bidi w:val="0"/>
        <w:spacing w:line="560" w:lineRule="exact"/>
        <w:jc w:val="left"/>
        <w:textAlignment w:val="auto"/>
        <w:rPr>
          <w:rFonts w:ascii="仿宋_GB2312" w:eastAsia="仿宋_GB2312"/>
          <w:sz w:val="32"/>
          <w:szCs w:val="32"/>
        </w:rPr>
      </w:pPr>
      <w:r>
        <w:rPr>
          <w:rFonts w:hint="eastAsia" w:ascii="仿宋_GB2312" w:eastAsia="仿宋_GB2312"/>
          <w:sz w:val="32"/>
          <w:szCs w:val="32"/>
        </w:rPr>
        <w:t>六、一般公共预算财政拨款基本支出</w:t>
      </w:r>
      <w:r>
        <w:rPr>
          <w:rFonts w:hint="eastAsia" w:ascii="仿宋_GB2312" w:hAnsi="仿宋_GB2312" w:eastAsia="仿宋_GB2312" w:cs="仿宋_GB2312"/>
          <w:sz w:val="32"/>
          <w:szCs w:val="32"/>
        </w:rPr>
        <w:t>决算</w:t>
      </w:r>
      <w:r>
        <w:rPr>
          <w:rFonts w:hint="eastAsia" w:ascii="仿宋_GB2312" w:eastAsia="仿宋_GB2312"/>
          <w:sz w:val="32"/>
          <w:szCs w:val="32"/>
        </w:rPr>
        <w:t>情况说明</w:t>
      </w:r>
    </w:p>
    <w:p>
      <w:pPr>
        <w:keepNext w:val="0"/>
        <w:keepLines w:val="0"/>
        <w:pageBreakBefore w:val="0"/>
        <w:kinsoku/>
        <w:wordWrap/>
        <w:overflowPunct/>
        <w:topLinePunct w:val="0"/>
        <w:autoSpaceDE/>
        <w:autoSpaceDN/>
        <w:bidi w:val="0"/>
        <w:spacing w:line="560" w:lineRule="exact"/>
        <w:jc w:val="left"/>
        <w:textAlignment w:val="auto"/>
        <w:rPr>
          <w:rFonts w:ascii="仿宋_GB2312" w:eastAsia="仿宋_GB2312"/>
          <w:sz w:val="32"/>
          <w:szCs w:val="32"/>
        </w:rPr>
      </w:pPr>
      <w:r>
        <w:rPr>
          <w:rFonts w:hint="eastAsia" w:ascii="仿宋_GB2312" w:eastAsia="仿宋_GB2312"/>
          <w:sz w:val="32"/>
          <w:szCs w:val="32"/>
        </w:rPr>
        <w:t>七、一般公共预算财政拨款“三公”经费支出</w:t>
      </w:r>
      <w:r>
        <w:rPr>
          <w:rFonts w:hint="eastAsia" w:ascii="仿宋_GB2312" w:hAnsi="仿宋_GB2312" w:eastAsia="仿宋_GB2312" w:cs="仿宋_GB2312"/>
          <w:sz w:val="32"/>
          <w:szCs w:val="32"/>
        </w:rPr>
        <w:t>决算</w:t>
      </w:r>
      <w:r>
        <w:rPr>
          <w:rFonts w:hint="eastAsia" w:ascii="仿宋_GB2312" w:eastAsia="仿宋_GB2312"/>
          <w:sz w:val="32"/>
          <w:szCs w:val="32"/>
        </w:rPr>
        <w:t>情况说明</w:t>
      </w:r>
    </w:p>
    <w:p>
      <w:pPr>
        <w:pStyle w:val="12"/>
        <w:keepNext w:val="0"/>
        <w:keepLines w:val="0"/>
        <w:pageBreakBefore w:val="0"/>
        <w:kinsoku/>
        <w:wordWrap/>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八、政府性基金预算财政拨款</w:t>
      </w:r>
      <w:r>
        <w:rPr>
          <w:rFonts w:hint="eastAsia" w:ascii="仿宋_GB2312" w:hAnsi="仿宋_GB2312" w:eastAsia="仿宋_GB2312" w:cs="仿宋_GB2312"/>
          <w:sz w:val="32"/>
          <w:szCs w:val="32"/>
          <w:lang w:eastAsia="zh-CN"/>
        </w:rPr>
        <w:t>收入支出</w:t>
      </w:r>
      <w:r>
        <w:rPr>
          <w:rFonts w:hint="eastAsia" w:ascii="仿宋_GB2312" w:hAnsi="仿宋_GB2312" w:eastAsia="仿宋_GB2312" w:cs="仿宋_GB2312"/>
          <w:sz w:val="32"/>
          <w:szCs w:val="32"/>
        </w:rPr>
        <w:t>决算</w:t>
      </w:r>
      <w:r>
        <w:rPr>
          <w:rFonts w:hint="eastAsia" w:ascii="仿宋_GB2312" w:hAnsi="仿宋_GB2312" w:eastAsia="仿宋_GB2312" w:cs="仿宋_GB2312"/>
          <w:sz w:val="32"/>
          <w:szCs w:val="32"/>
          <w:lang w:eastAsia="zh-CN"/>
        </w:rPr>
        <w:t>情况说明</w:t>
      </w:r>
    </w:p>
    <w:p>
      <w:pPr>
        <w:keepNext w:val="0"/>
        <w:keepLines w:val="0"/>
        <w:pageBreakBefore w:val="0"/>
        <w:kinsoku/>
        <w:wordWrap/>
        <w:overflowPunct/>
        <w:topLinePunct w:val="0"/>
        <w:autoSpaceDE/>
        <w:autoSpaceDN/>
        <w:bidi w:val="0"/>
        <w:spacing w:line="560" w:lineRule="exact"/>
        <w:jc w:val="left"/>
        <w:textAlignment w:val="auto"/>
        <w:rPr>
          <w:rFonts w:ascii="仿宋_GB2312" w:eastAsia="仿宋_GB2312"/>
          <w:sz w:val="32"/>
          <w:szCs w:val="32"/>
        </w:rPr>
      </w:pPr>
      <w:r>
        <w:rPr>
          <w:rFonts w:hint="eastAsia" w:ascii="仿宋_GB2312" w:hAnsi="仿宋_GB2312" w:eastAsia="仿宋_GB2312" w:cs="仿宋_GB2312"/>
          <w:sz w:val="32"/>
          <w:szCs w:val="32"/>
          <w:lang w:eastAsia="zh-CN"/>
        </w:rPr>
        <w:t>九、国有资本经营预算财政拨款支出决算情况说明</w:t>
      </w:r>
      <w:r>
        <w:rPr>
          <w:rFonts w:hint="eastAsia" w:ascii="仿宋_GB2312" w:hAnsi="仿宋_GB2312" w:eastAsia="仿宋_GB2312" w:cs="仿宋_GB2312"/>
          <w:sz w:val="32"/>
          <w:szCs w:val="32"/>
          <w:lang w:eastAsia="zh-CN"/>
        </w:rPr>
        <w:br w:type="textWrapping"/>
      </w:r>
      <w:r>
        <w:rPr>
          <w:rFonts w:hint="eastAsia" w:ascii="仿宋_GB2312" w:eastAsia="仿宋_GB2312"/>
          <w:sz w:val="32"/>
          <w:szCs w:val="32"/>
          <w:lang w:eastAsia="zh-CN"/>
        </w:rPr>
        <w:t>十</w:t>
      </w:r>
      <w:r>
        <w:rPr>
          <w:rFonts w:hint="eastAsia" w:ascii="仿宋_GB2312" w:eastAsia="仿宋_GB2312"/>
          <w:sz w:val="32"/>
          <w:szCs w:val="32"/>
        </w:rPr>
        <w:t>、其他重要事项情况说明</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黑体" w:hAnsi="黑体" w:eastAsia="黑体" w:cs="黑体"/>
          <w:b w:val="0"/>
          <w:bCs/>
          <w:snapToGrid w:val="0"/>
          <w:w w:val="95"/>
          <w:kern w:val="0"/>
          <w:sz w:val="32"/>
          <w:szCs w:val="32"/>
        </w:rPr>
      </w:pPr>
      <w:r>
        <w:rPr>
          <w:rFonts w:hint="eastAsia" w:ascii="黑体" w:hAnsi="黑体" w:eastAsia="黑体" w:cs="黑体"/>
          <w:b w:val="0"/>
          <w:bCs/>
          <w:snapToGrid w:val="0"/>
          <w:w w:val="95"/>
          <w:kern w:val="0"/>
          <w:sz w:val="32"/>
          <w:szCs w:val="32"/>
        </w:rPr>
        <w:t>第四部分  名词解释</w:t>
      </w:r>
    </w:p>
    <w:p>
      <w:pPr>
        <w:spacing w:after="0" w:line="560" w:lineRule="exact"/>
        <w:jc w:val="both"/>
        <w:rPr>
          <w:rFonts w:ascii="仿宋_GB2312" w:hAnsi="黑体" w:eastAsia="仿宋_GB2312" w:cs="黑体"/>
          <w:bCs/>
          <w:snapToGrid w:val="0"/>
          <w:w w:val="95"/>
          <w:sz w:val="32"/>
          <w:szCs w:val="32"/>
        </w:rPr>
      </w:pPr>
      <w:r>
        <w:rPr>
          <w:rFonts w:hint="eastAsia" w:ascii="仿宋_GB2312" w:hAnsi="黑体" w:eastAsia="仿宋_GB2312" w:cs="黑体"/>
          <w:bCs/>
          <w:snapToGrid w:val="0"/>
          <w:w w:val="95"/>
          <w:sz w:val="32"/>
          <w:szCs w:val="32"/>
        </w:rPr>
        <w:t>附件：</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snapToGrid w:val="0"/>
          <w:w w:val="95"/>
          <w:sz w:val="32"/>
          <w:szCs w:val="32"/>
          <w:lang w:eastAsia="zh-CN"/>
        </w:rPr>
      </w:pPr>
      <w:r>
        <w:rPr>
          <w:rFonts w:hint="eastAsia" w:ascii="仿宋_GB2312" w:hAnsi="仿宋_GB2312" w:eastAsia="仿宋_GB2312" w:cs="仿宋_GB2312"/>
          <w:snapToGrid w:val="0"/>
          <w:w w:val="95"/>
          <w:sz w:val="32"/>
          <w:szCs w:val="32"/>
        </w:rPr>
        <w:t>202</w:t>
      </w:r>
      <w:r>
        <w:rPr>
          <w:rFonts w:hint="eastAsia" w:ascii="仿宋_GB2312" w:hAnsi="仿宋_GB2312" w:eastAsia="仿宋_GB2312" w:cs="仿宋_GB2312"/>
          <w:snapToGrid w:val="0"/>
          <w:w w:val="95"/>
          <w:sz w:val="32"/>
          <w:szCs w:val="32"/>
          <w:lang w:val="en-US" w:eastAsia="zh-CN"/>
        </w:rPr>
        <w:t>1</w:t>
      </w:r>
      <w:r>
        <w:rPr>
          <w:rFonts w:hint="eastAsia" w:ascii="仿宋_GB2312" w:hAnsi="仿宋_GB2312" w:eastAsia="仿宋_GB2312" w:cs="仿宋_GB2312"/>
          <w:snapToGrid w:val="0"/>
          <w:w w:val="95"/>
          <w:sz w:val="32"/>
          <w:szCs w:val="32"/>
        </w:rPr>
        <w:t>年度部门</w:t>
      </w:r>
      <w:r>
        <w:rPr>
          <w:rFonts w:hint="eastAsia" w:ascii="仿宋_GB2312" w:hAnsi="仿宋_GB2312" w:eastAsia="仿宋_GB2312" w:cs="仿宋_GB2312"/>
          <w:snapToGrid w:val="0"/>
          <w:w w:val="95"/>
          <w:sz w:val="32"/>
          <w:szCs w:val="32"/>
          <w:lang w:eastAsia="zh-CN"/>
        </w:rPr>
        <w:t>决算</w:t>
      </w:r>
      <w:r>
        <w:rPr>
          <w:rFonts w:hint="eastAsia" w:ascii="仿宋_GB2312" w:hAnsi="仿宋_GB2312" w:eastAsia="仿宋_GB2312" w:cs="仿宋_GB2312"/>
          <w:snapToGrid w:val="0"/>
          <w:w w:val="95"/>
          <w:sz w:val="32"/>
          <w:szCs w:val="32"/>
        </w:rPr>
        <w:t>明细表</w:t>
      </w:r>
      <w:r>
        <w:rPr>
          <w:rFonts w:hint="eastAsia" w:ascii="仿宋_GB2312" w:hAnsi="仿宋_GB2312" w:eastAsia="仿宋_GB2312" w:cs="仿宋_GB2312"/>
          <w:snapToGrid w:val="0"/>
          <w:w w:val="95"/>
          <w:sz w:val="32"/>
          <w:szCs w:val="32"/>
          <w:lang w:eastAsia="zh-CN"/>
        </w:rPr>
        <w:t>（含</w:t>
      </w:r>
      <w:r>
        <w:rPr>
          <w:rFonts w:hint="eastAsia" w:ascii="仿宋_GB2312" w:hAnsi="仿宋_GB2312" w:eastAsia="仿宋_GB2312" w:cs="仿宋_GB2312"/>
          <w:snapToGrid w:val="0"/>
          <w:w w:val="95"/>
          <w:sz w:val="32"/>
          <w:szCs w:val="32"/>
          <w:lang w:val="en-US" w:eastAsia="zh-CN"/>
        </w:rPr>
        <w:t>九张表</w:t>
      </w:r>
      <w:r>
        <w:rPr>
          <w:rFonts w:hint="eastAsia" w:ascii="仿宋_GB2312" w:hAnsi="仿宋_GB2312" w:eastAsia="仿宋_GB2312" w:cs="仿宋_GB2312"/>
          <w:snapToGrid w:val="0"/>
          <w:w w:val="95"/>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480" w:lineRule="exact"/>
        <w:jc w:val="both"/>
        <w:textAlignment w:val="auto"/>
        <w:rPr>
          <w:rFonts w:hint="eastAsia" w:ascii="方正小标宋简体" w:hAnsi="方正小标宋简体" w:eastAsia="方正小标宋简体" w:cs="方正小标宋简体"/>
          <w:bCs/>
          <w:sz w:val="44"/>
          <w:szCs w:val="44"/>
        </w:rPr>
      </w:pPr>
      <w:r>
        <w:rPr>
          <w:rFonts w:hint="eastAsia" w:ascii="仿宋_GB2312" w:hAnsi="仿宋_GB2312" w:eastAsia="仿宋_GB2312" w:cs="仿宋_GB2312"/>
          <w:snapToGrid w:val="0"/>
          <w:w w:val="95"/>
          <w:sz w:val="32"/>
          <w:szCs w:val="32"/>
          <w:highlight w:val="none"/>
          <w:lang w:val="en-US" w:eastAsia="zh-CN"/>
        </w:rPr>
        <w:t>2.2021年度部门整体支出绩效评价报告及绩效评价体系评分表</w:t>
      </w:r>
    </w:p>
    <w:p>
      <w:pPr>
        <w:keepNext w:val="0"/>
        <w:keepLines w:val="0"/>
        <w:pageBreakBefore w:val="0"/>
        <w:widowControl w:val="0"/>
        <w:numPr>
          <w:ilvl w:val="0"/>
          <w:numId w:val="0"/>
        </w:numPr>
        <w:kinsoku/>
        <w:wordWrap/>
        <w:overflowPunct/>
        <w:topLinePunct w:val="0"/>
        <w:autoSpaceDE/>
        <w:autoSpaceDN/>
        <w:bidi w:val="0"/>
        <w:spacing w:line="480" w:lineRule="exact"/>
        <w:jc w:val="center"/>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numPr>
          <w:ilvl w:val="0"/>
          <w:numId w:val="0"/>
        </w:numPr>
        <w:kinsoku/>
        <w:wordWrap/>
        <w:overflowPunct/>
        <w:topLinePunct w:val="0"/>
        <w:autoSpaceDE/>
        <w:autoSpaceDN/>
        <w:bidi w:val="0"/>
        <w:spacing w:line="480" w:lineRule="exact"/>
        <w:jc w:val="center"/>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numPr>
          <w:ilvl w:val="0"/>
          <w:numId w:val="0"/>
        </w:numPr>
        <w:kinsoku/>
        <w:wordWrap/>
        <w:overflowPunct/>
        <w:topLinePunct w:val="0"/>
        <w:autoSpaceDE/>
        <w:autoSpaceDN/>
        <w:bidi w:val="0"/>
        <w:spacing w:line="480" w:lineRule="exact"/>
        <w:jc w:val="left"/>
        <w:textAlignment w:val="auto"/>
        <w:rPr>
          <w:rFonts w:hint="eastAsia" w:ascii="方正小标宋简体" w:hAnsi="方正小标宋简体" w:eastAsia="方正小标宋简体" w:cs="方正小标宋简体"/>
          <w:bCs/>
          <w:sz w:val="44"/>
          <w:szCs w:val="44"/>
        </w:rPr>
        <w:sectPr>
          <w:pgSz w:w="11906" w:h="16838"/>
          <w:pgMar w:top="1440" w:right="1800" w:bottom="1440" w:left="1800" w:header="708" w:footer="708" w:gutter="0"/>
          <w:pgNumType w:fmt="numberInDash"/>
          <w:cols w:space="708" w:num="1"/>
          <w:docGrid w:linePitch="360" w:charSpace="0"/>
        </w:sectPr>
      </w:pPr>
    </w:p>
    <w:p>
      <w:pPr>
        <w:numPr>
          <w:ilvl w:val="0"/>
          <w:numId w:val="2"/>
        </w:numPr>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察隅县下察隅镇人民政府</w:t>
      </w:r>
      <w:r>
        <w:rPr>
          <w:rFonts w:hint="eastAsia" w:ascii="方正小标宋简体" w:hAnsi="方正小标宋简体" w:eastAsia="方正小标宋简体" w:cs="方正小标宋简体"/>
          <w:bCs/>
          <w:sz w:val="44"/>
          <w:szCs w:val="44"/>
        </w:rPr>
        <w:t>概况</w:t>
      </w:r>
    </w:p>
    <w:p>
      <w:pPr>
        <w:numPr>
          <w:ilvl w:val="0"/>
          <w:numId w:val="0"/>
        </w:numPr>
        <w:jc w:val="both"/>
        <w:rPr>
          <w:rFonts w:hint="eastAsia" w:ascii="黑体" w:hAnsi="仿宋_GB2312" w:eastAsia="黑体" w:cs="仿宋_GB2312"/>
          <w:bCs/>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部门职责</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组织部门印发的“三定”方案文件，规定的部门主要职责。</w:t>
      </w:r>
    </w:p>
    <w:p>
      <w:pPr>
        <w:pStyle w:val="7"/>
        <w:shd w:val="clear" w:color="auto" w:fill="FFFFFF"/>
        <w:spacing w:line="560" w:lineRule="exact"/>
        <w:ind w:firstLine="640" w:firstLineChars="200"/>
        <w:rPr>
          <w:rFonts w:hint="default" w:ascii="仿宋_GB2312" w:hAnsi="仿宋" w:eastAsia="仿宋_GB2312" w:cs="仿宋"/>
          <w:color w:val="000000"/>
          <w:sz w:val="32"/>
          <w:szCs w:val="32"/>
        </w:rPr>
      </w:pPr>
      <w:r>
        <w:rPr>
          <w:rFonts w:ascii="仿宋_GB2312" w:hAnsi="仿宋" w:eastAsia="仿宋_GB2312" w:cs="仿宋"/>
          <w:color w:val="000000"/>
          <w:sz w:val="32"/>
          <w:szCs w:val="32"/>
        </w:rPr>
        <w:t>（一）宣传贯彻党的路线、方针、政策，执行法律、法规、规章和上级人民政府的决定、命令、指示。</w:t>
      </w:r>
    </w:p>
    <w:p>
      <w:pPr>
        <w:pStyle w:val="7"/>
        <w:shd w:val="clear" w:color="auto" w:fill="FFFFFF"/>
        <w:spacing w:line="560" w:lineRule="exact"/>
        <w:ind w:firstLine="645"/>
        <w:rPr>
          <w:rFonts w:hint="default" w:ascii="仿宋_GB2312" w:hAnsi="仿宋" w:eastAsia="仿宋_GB2312" w:cs="仿宋"/>
          <w:color w:val="000000"/>
          <w:sz w:val="32"/>
          <w:szCs w:val="32"/>
        </w:rPr>
      </w:pPr>
      <w:r>
        <w:rPr>
          <w:rFonts w:ascii="仿宋_GB2312" w:hAnsi="仿宋" w:eastAsia="仿宋_GB2312" w:cs="仿宋"/>
          <w:color w:val="000000"/>
          <w:sz w:val="32"/>
          <w:szCs w:val="32"/>
        </w:rPr>
        <w:t>（二）制定经济发展规划，管理经济工作，负责组织、监督、协调、指导、综合服务，推动本乡经济长远发展。</w:t>
      </w:r>
    </w:p>
    <w:p>
      <w:pPr>
        <w:pStyle w:val="7"/>
        <w:shd w:val="clear" w:color="auto" w:fill="FFFFFF"/>
        <w:spacing w:line="560" w:lineRule="exact"/>
        <w:ind w:firstLine="640" w:firstLineChars="200"/>
        <w:rPr>
          <w:rFonts w:hint="default" w:ascii="仿宋_GB2312" w:hAnsi="仿宋" w:eastAsia="仿宋_GB2312" w:cs="仿宋"/>
          <w:color w:val="000000"/>
          <w:sz w:val="32"/>
          <w:szCs w:val="32"/>
        </w:rPr>
      </w:pPr>
      <w:r>
        <w:rPr>
          <w:rFonts w:ascii="仿宋_GB2312" w:hAnsi="仿宋" w:eastAsia="仿宋_GB2312" w:cs="仿宋"/>
          <w:color w:val="000000"/>
          <w:sz w:val="32"/>
          <w:szCs w:val="32"/>
        </w:rPr>
        <w:t>（三）加强基础建设，强化管理，拓宽服务，提高干部素质。</w:t>
      </w:r>
    </w:p>
    <w:p>
      <w:pPr>
        <w:pStyle w:val="7"/>
        <w:shd w:val="clear" w:color="auto" w:fill="FFFFFF"/>
        <w:spacing w:line="560" w:lineRule="exact"/>
        <w:ind w:firstLine="640" w:firstLineChars="200"/>
        <w:rPr>
          <w:rFonts w:hint="default" w:ascii="仿宋_GB2312" w:hAnsi="仿宋" w:eastAsia="仿宋_GB2312" w:cs="仿宋"/>
          <w:color w:val="000000"/>
          <w:sz w:val="32"/>
          <w:szCs w:val="32"/>
        </w:rPr>
      </w:pPr>
      <w:r>
        <w:rPr>
          <w:rFonts w:ascii="仿宋_GB2312" w:hAnsi="仿宋" w:eastAsia="仿宋_GB2312" w:cs="仿宋"/>
          <w:color w:val="000000"/>
          <w:sz w:val="32"/>
          <w:szCs w:val="32"/>
        </w:rPr>
        <w:t>（四）制定并组织实施村镇建设规划，部署重点工程建设，地方道路建设及公共设施，水利设施的管理，负责土地、林木、水等自然资源和生态环境的保护，做好护林防火工作。</w:t>
      </w:r>
    </w:p>
    <w:p>
      <w:pPr>
        <w:pStyle w:val="7"/>
        <w:shd w:val="clear" w:color="auto" w:fill="FFFFFF"/>
        <w:spacing w:line="560" w:lineRule="exact"/>
        <w:ind w:firstLine="640" w:firstLineChars="200"/>
        <w:rPr>
          <w:rFonts w:hint="default" w:ascii="仿宋_GB2312" w:hAnsi="仿宋" w:eastAsia="仿宋_GB2312" w:cs="仿宋"/>
          <w:color w:val="000000"/>
          <w:sz w:val="32"/>
          <w:szCs w:val="32"/>
        </w:rPr>
      </w:pPr>
      <w:r>
        <w:rPr>
          <w:rFonts w:ascii="仿宋_GB2312" w:hAnsi="仿宋" w:eastAsia="仿宋_GB2312" w:cs="仿宋"/>
          <w:color w:val="000000"/>
          <w:sz w:val="32"/>
          <w:szCs w:val="32"/>
        </w:rPr>
        <w:t>（五）负责辖区内社会治安综合治理、安全生产、来信来访、计划生育、扶贫救济、爱国教育、卫生医疗、健康教育、关心下一代等工作。维护一切经济单位和个人的正当经济权益，取缔非法经济活动，调解和处理民事纠纷，打击刑事犯罪维护社会稳定。</w:t>
      </w:r>
    </w:p>
    <w:p>
      <w:pPr>
        <w:pStyle w:val="7"/>
        <w:shd w:val="clear" w:color="auto" w:fill="FFFFFF"/>
        <w:spacing w:line="560" w:lineRule="exact"/>
        <w:ind w:firstLine="640" w:firstLineChars="200"/>
        <w:rPr>
          <w:rFonts w:hint="default" w:ascii="仿宋_GB2312" w:hAnsi="仿宋" w:eastAsia="仿宋_GB2312" w:cs="仿宋"/>
          <w:color w:val="000000"/>
          <w:sz w:val="32"/>
          <w:szCs w:val="32"/>
        </w:rPr>
      </w:pPr>
      <w:r>
        <w:rPr>
          <w:rFonts w:ascii="仿宋_GB2312" w:hAnsi="仿宋" w:eastAsia="仿宋_GB2312" w:cs="仿宋"/>
          <w:color w:val="000000"/>
          <w:sz w:val="32"/>
          <w:szCs w:val="32"/>
        </w:rPr>
        <w:t>（六）协同有关部门做好民政、交通、土地、林业、司法、社会保险、劳动就业、环境保护等工作。</w:t>
      </w:r>
    </w:p>
    <w:p>
      <w:pPr>
        <w:pStyle w:val="7"/>
        <w:shd w:val="clear" w:color="auto" w:fill="FFFFFF"/>
        <w:spacing w:line="560" w:lineRule="exact"/>
        <w:ind w:firstLine="640" w:firstLineChars="200"/>
        <w:rPr>
          <w:rFonts w:hint="default" w:ascii="仿宋_GB2312" w:hAnsi="仿宋" w:eastAsia="仿宋_GB2312" w:cs="仿宋"/>
          <w:color w:val="000000"/>
          <w:sz w:val="32"/>
          <w:szCs w:val="32"/>
        </w:rPr>
      </w:pPr>
      <w:r>
        <w:rPr>
          <w:rFonts w:ascii="仿宋_GB2312" w:hAnsi="仿宋" w:eastAsia="仿宋_GB2312" w:cs="仿宋"/>
          <w:color w:val="000000"/>
          <w:sz w:val="32"/>
          <w:szCs w:val="32"/>
        </w:rPr>
        <w:t>（七）积极落实各项惠民资金，做好财务工作，做好“收支两条线”管理工作。</w:t>
      </w:r>
    </w:p>
    <w:p>
      <w:pPr>
        <w:pStyle w:val="7"/>
        <w:shd w:val="clear" w:color="auto" w:fill="FFFFFF"/>
        <w:spacing w:line="560" w:lineRule="exact"/>
        <w:ind w:firstLine="640" w:firstLineChars="200"/>
        <w:rPr>
          <w:rFonts w:hint="default" w:ascii="仿宋_GB2312" w:hAnsi="仿宋" w:eastAsia="仿宋_GB2312" w:cs="仿宋"/>
          <w:color w:val="000000"/>
          <w:sz w:val="32"/>
          <w:szCs w:val="32"/>
        </w:rPr>
      </w:pPr>
      <w:r>
        <w:rPr>
          <w:rFonts w:ascii="仿宋_GB2312" w:hAnsi="仿宋" w:eastAsia="仿宋_GB2312" w:cs="仿宋"/>
          <w:color w:val="000000"/>
          <w:sz w:val="32"/>
          <w:szCs w:val="32"/>
        </w:rPr>
        <w:t>（八）开展群众性文化体育活动，普及科学常识，广泛开展青少年教育、老年教育、社会公德、家庭美德等教育。</w:t>
      </w:r>
    </w:p>
    <w:p>
      <w:pPr>
        <w:pStyle w:val="7"/>
        <w:shd w:val="clear" w:color="auto" w:fill="FFFFFF"/>
        <w:spacing w:line="560" w:lineRule="exact"/>
        <w:ind w:firstLine="640" w:firstLineChars="200"/>
        <w:rPr>
          <w:rFonts w:hint="default" w:ascii="仿宋_GB2312" w:hAnsi="仿宋" w:eastAsia="仿宋_GB2312" w:cs="仿宋"/>
          <w:color w:val="000000"/>
          <w:sz w:val="32"/>
          <w:szCs w:val="32"/>
        </w:rPr>
      </w:pPr>
      <w:r>
        <w:rPr>
          <w:rFonts w:ascii="仿宋_GB2312" w:hAnsi="仿宋" w:eastAsia="仿宋_GB2312" w:cs="仿宋"/>
          <w:color w:val="000000"/>
          <w:sz w:val="32"/>
          <w:szCs w:val="32"/>
        </w:rPr>
        <w:t>（九）开展精神文明建设，倡导文明新风，共建美好家园等活动。</w:t>
      </w:r>
    </w:p>
    <w:p>
      <w:pPr>
        <w:pStyle w:val="7"/>
        <w:shd w:val="clear" w:color="auto" w:fill="FFFFFF"/>
        <w:spacing w:line="560" w:lineRule="exact"/>
        <w:rPr>
          <w:rFonts w:hint="default" w:ascii="仿宋_GB2312" w:hAnsi="仿宋" w:eastAsia="仿宋_GB2312" w:cs="仿宋"/>
          <w:color w:val="000000"/>
          <w:sz w:val="32"/>
          <w:szCs w:val="32"/>
        </w:rPr>
      </w:pPr>
      <w:r>
        <w:rPr>
          <w:rFonts w:ascii="仿宋_GB2312" w:hAnsi="仿宋" w:eastAsia="仿宋_GB2312" w:cs="仿宋"/>
          <w:color w:val="000000"/>
          <w:sz w:val="32"/>
          <w:szCs w:val="32"/>
        </w:rPr>
        <w:t xml:space="preserve">    （十）指导、支持、帮助村民委员会工作，充分发挥基层群众性自治组织作用。</w:t>
      </w:r>
    </w:p>
    <w:p>
      <w:pPr>
        <w:pStyle w:val="7"/>
        <w:shd w:val="clear" w:color="auto" w:fill="FFFFFF"/>
        <w:spacing w:line="560" w:lineRule="exact"/>
        <w:ind w:firstLine="640" w:firstLineChars="200"/>
        <w:rPr>
          <w:rFonts w:hint="default" w:ascii="仿宋_GB2312" w:hAnsi="仿宋" w:eastAsia="仿宋_GB2312" w:cs="仿宋"/>
          <w:color w:val="000000"/>
          <w:sz w:val="32"/>
          <w:szCs w:val="32"/>
        </w:rPr>
      </w:pPr>
      <w:r>
        <w:rPr>
          <w:rFonts w:ascii="仿宋_GB2312" w:hAnsi="仿宋" w:eastAsia="仿宋_GB2312" w:cs="仿宋"/>
          <w:color w:val="000000"/>
          <w:sz w:val="32"/>
          <w:szCs w:val="32"/>
        </w:rPr>
        <w:t>（十一）实行公开办事制度，工作人员依法办事，公正廉洁，密切联系群众，接受群众监督。</w:t>
      </w:r>
    </w:p>
    <w:p>
      <w:pPr>
        <w:pStyle w:val="7"/>
        <w:shd w:val="clear" w:color="auto" w:fill="FFFFFF"/>
        <w:spacing w:line="560" w:lineRule="exact"/>
        <w:ind w:firstLine="640" w:firstLineChars="200"/>
        <w:rPr>
          <w:rFonts w:hint="default" w:ascii="仿宋_GB2312" w:hAnsi="仿宋" w:eastAsia="仿宋_GB2312" w:cs="仿宋"/>
          <w:color w:val="000000"/>
          <w:sz w:val="32"/>
          <w:szCs w:val="32"/>
        </w:rPr>
      </w:pPr>
      <w:r>
        <w:rPr>
          <w:rFonts w:ascii="仿宋_GB2312" w:hAnsi="仿宋" w:eastAsia="仿宋_GB2312" w:cs="仿宋"/>
          <w:color w:val="000000"/>
          <w:sz w:val="32"/>
          <w:szCs w:val="32"/>
        </w:rPr>
        <w:t>（十二）认真办理上级人民政府交办的其他事项。</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outlineLvl w:val="9"/>
        <w:rPr>
          <w:rFonts w:hint="default"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rPr>
        <w:t>根据</w:t>
      </w:r>
      <w:r>
        <w:rPr>
          <w:rFonts w:hint="eastAsia" w:ascii="仿宋_GB2312" w:hAnsi="仿宋_GB2312" w:eastAsia="仿宋_GB2312" w:cs="仿宋_GB2312"/>
          <w:b w:val="0"/>
          <w:bCs w:val="0"/>
          <w:color w:val="auto"/>
          <w:kern w:val="2"/>
          <w:sz w:val="32"/>
          <w:szCs w:val="32"/>
          <w:highlight w:val="none"/>
          <w:lang w:eastAsia="zh-CN"/>
        </w:rPr>
        <w:t>《中共林芝市委员会办公室</w:t>
      </w:r>
      <w:r>
        <w:rPr>
          <w:rFonts w:hint="eastAsia" w:ascii="仿宋_GB2312" w:hAnsi="仿宋_GB2312" w:eastAsia="仿宋_GB2312" w:cs="仿宋_GB2312"/>
          <w:b w:val="0"/>
          <w:bCs w:val="0"/>
          <w:color w:val="auto"/>
          <w:kern w:val="2"/>
          <w:sz w:val="32"/>
          <w:szCs w:val="32"/>
          <w:highlight w:val="none"/>
          <w:lang w:val="en-US" w:eastAsia="zh-CN"/>
        </w:rPr>
        <w:t xml:space="preserve"> 林芝市人民政府办公室关于印发&lt;林芝市关于推进基层整合审批服务执法力量的实施方案&gt;的通知</w:t>
      </w:r>
      <w:r>
        <w:rPr>
          <w:rFonts w:hint="eastAsia" w:ascii="仿宋_GB2312" w:hAnsi="仿宋_GB2312" w:eastAsia="仿宋_GB2312" w:cs="仿宋_GB2312"/>
          <w:b w:val="0"/>
          <w:bCs w:val="0"/>
          <w:color w:val="auto"/>
          <w:kern w:val="2"/>
          <w:sz w:val="32"/>
          <w:szCs w:val="32"/>
          <w:highlight w:val="none"/>
          <w:lang w:eastAsia="zh-CN"/>
        </w:rPr>
        <w:t>》（林委办〔2021〕</w:t>
      </w:r>
      <w:r>
        <w:rPr>
          <w:rFonts w:hint="eastAsia" w:ascii="仿宋_GB2312" w:hAnsi="仿宋_GB2312" w:eastAsia="仿宋_GB2312" w:cs="仿宋_GB2312"/>
          <w:b w:val="0"/>
          <w:bCs w:val="0"/>
          <w:color w:val="auto"/>
          <w:kern w:val="2"/>
          <w:sz w:val="32"/>
          <w:szCs w:val="32"/>
          <w:highlight w:val="none"/>
          <w:lang w:val="en" w:eastAsia="zh-CN"/>
        </w:rPr>
        <w:t>44</w:t>
      </w:r>
      <w:r>
        <w:rPr>
          <w:rFonts w:hint="eastAsia" w:ascii="仿宋_GB2312" w:hAnsi="仿宋_GB2312" w:eastAsia="仿宋_GB2312" w:cs="仿宋_GB2312"/>
          <w:b w:val="0"/>
          <w:bCs w:val="0"/>
          <w:color w:val="auto"/>
          <w:kern w:val="2"/>
          <w:sz w:val="32"/>
          <w:szCs w:val="32"/>
          <w:highlight w:val="none"/>
          <w:lang w:eastAsia="zh-CN"/>
        </w:rPr>
        <w:t>号）</w:t>
      </w:r>
      <w:r>
        <w:rPr>
          <w:rFonts w:hint="eastAsia" w:ascii="仿宋_GB2312" w:hAnsi="仿宋_GB2312" w:eastAsia="仿宋_GB2312" w:cs="仿宋_GB2312"/>
          <w:b w:val="0"/>
          <w:bCs w:val="0"/>
          <w:color w:val="auto"/>
          <w:kern w:val="2"/>
          <w:sz w:val="32"/>
          <w:szCs w:val="32"/>
          <w:highlight w:val="none"/>
        </w:rPr>
        <w:t>精神</w:t>
      </w:r>
      <w:r>
        <w:rPr>
          <w:rFonts w:hint="eastAsia" w:ascii="仿宋_GB2312" w:hAnsi="仿宋_GB2312" w:eastAsia="仿宋_GB2312" w:cs="仿宋_GB2312"/>
          <w:b w:val="0"/>
          <w:bCs w:val="0"/>
          <w:color w:val="auto"/>
          <w:kern w:val="2"/>
          <w:sz w:val="32"/>
          <w:szCs w:val="32"/>
          <w:highlight w:val="none"/>
          <w:lang w:val="en-US" w:eastAsia="zh-CN"/>
        </w:rPr>
        <w:t>和《关于推进基层整合审批服务执法力量的实施方案》（察县委办</w:t>
      </w:r>
      <w:r>
        <w:rPr>
          <w:rFonts w:hint="eastAsia" w:ascii="仿宋_GB2312" w:hAnsi="仿宋_GB2312" w:eastAsia="仿宋_GB2312" w:cs="仿宋_GB2312"/>
          <w:b w:val="0"/>
          <w:bCs w:val="0"/>
          <w:color w:val="auto"/>
          <w:kern w:val="2"/>
          <w:sz w:val="32"/>
          <w:szCs w:val="32"/>
          <w:highlight w:val="none"/>
          <w:lang w:eastAsia="zh-CN"/>
        </w:rPr>
        <w:t>〔202</w:t>
      </w:r>
      <w:r>
        <w:rPr>
          <w:rFonts w:hint="eastAsia" w:ascii="仿宋_GB2312" w:hAnsi="仿宋_GB2312" w:eastAsia="仿宋_GB2312" w:cs="仿宋_GB2312"/>
          <w:b w:val="0"/>
          <w:bCs w:val="0"/>
          <w:color w:val="auto"/>
          <w:kern w:val="2"/>
          <w:sz w:val="32"/>
          <w:szCs w:val="32"/>
          <w:highlight w:val="none"/>
          <w:lang w:val="en-US" w:eastAsia="zh-CN"/>
        </w:rPr>
        <w:t>2</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1号）文件</w:t>
      </w:r>
      <w:r>
        <w:rPr>
          <w:rFonts w:hint="eastAsia" w:ascii="仿宋_GB2312" w:hAnsi="仿宋_GB2312" w:eastAsia="仿宋_GB2312" w:cs="仿宋_GB2312"/>
          <w:b w:val="0"/>
          <w:bCs w:val="0"/>
          <w:color w:val="auto"/>
          <w:kern w:val="2"/>
          <w:sz w:val="32"/>
          <w:szCs w:val="32"/>
          <w:highlight w:val="none"/>
        </w:rPr>
        <w:t>，</w:t>
      </w:r>
      <w:r>
        <w:rPr>
          <w:rFonts w:hint="eastAsia" w:ascii="仿宋_GB2312" w:hAnsi="仿宋_GB2312" w:eastAsia="仿宋_GB2312" w:cs="仿宋_GB2312"/>
          <w:b w:val="0"/>
          <w:bCs w:val="0"/>
          <w:color w:val="auto"/>
          <w:kern w:val="2"/>
          <w:sz w:val="32"/>
          <w:szCs w:val="32"/>
          <w:highlight w:val="none"/>
          <w:lang w:val="en-US" w:eastAsia="zh-CN"/>
        </w:rPr>
        <w:t>下察隅镇设置机构如下：</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楷体_GB2312" w:hAnsi="楷体_GB2312" w:eastAsia="楷体_GB2312" w:cs="楷体_GB2312"/>
          <w:b/>
          <w:bCs/>
          <w:color w:val="auto"/>
          <w:kern w:val="2"/>
          <w:sz w:val="32"/>
          <w:szCs w:val="32"/>
          <w:highlight w:val="none"/>
          <w:u w:val="none"/>
          <w:lang w:eastAsia="zh-CN"/>
        </w:rPr>
      </w:pPr>
      <w:r>
        <w:rPr>
          <w:rFonts w:hint="eastAsia" w:ascii="楷体_GB2312" w:hAnsi="楷体_GB2312" w:eastAsia="楷体_GB2312" w:cs="楷体_GB2312"/>
          <w:b/>
          <w:bCs/>
          <w:color w:val="auto"/>
          <w:kern w:val="2"/>
          <w:sz w:val="32"/>
          <w:szCs w:val="32"/>
          <w:highlight w:val="none"/>
          <w:u w:val="none"/>
          <w:lang w:eastAsia="zh-CN"/>
        </w:rPr>
        <w:t>（</w:t>
      </w:r>
      <w:r>
        <w:rPr>
          <w:rFonts w:hint="eastAsia" w:ascii="楷体_GB2312" w:hAnsi="楷体_GB2312" w:eastAsia="楷体_GB2312" w:cs="楷体_GB2312"/>
          <w:b/>
          <w:bCs/>
          <w:color w:val="auto"/>
          <w:kern w:val="2"/>
          <w:sz w:val="32"/>
          <w:szCs w:val="32"/>
          <w:highlight w:val="none"/>
          <w:u w:val="none"/>
          <w:lang w:val="en-US" w:eastAsia="zh-CN"/>
        </w:rPr>
        <w:t>一</w:t>
      </w:r>
      <w:r>
        <w:rPr>
          <w:rFonts w:hint="eastAsia" w:ascii="楷体_GB2312" w:hAnsi="楷体_GB2312" w:eastAsia="楷体_GB2312" w:cs="楷体_GB2312"/>
          <w:b/>
          <w:bCs/>
          <w:color w:val="auto"/>
          <w:kern w:val="2"/>
          <w:sz w:val="32"/>
          <w:szCs w:val="32"/>
          <w:highlight w:val="none"/>
          <w:u w:val="none"/>
          <w:lang w:eastAsia="zh-CN"/>
        </w:rPr>
        <w:t>）内设机构</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Times New Roman" w:hAnsi="Times New Roman" w:eastAsia="仿宋_GB2312" w:cs="Times New Roman"/>
          <w:b w:val="0"/>
          <w:bCs w:val="0"/>
          <w:color w:val="auto"/>
          <w:kern w:val="2"/>
          <w:sz w:val="32"/>
          <w:szCs w:val="32"/>
          <w:highlight w:val="none"/>
          <w:lang w:eastAsia="zh-CN"/>
        </w:rPr>
      </w:pPr>
      <w:r>
        <w:rPr>
          <w:rFonts w:hint="eastAsia" w:ascii="仿宋_GB2312" w:hAnsi="仿宋_GB2312" w:eastAsia="仿宋_GB2312" w:cs="仿宋_GB2312"/>
          <w:b/>
          <w:bCs/>
          <w:color w:val="auto"/>
          <w:kern w:val="2"/>
          <w:sz w:val="32"/>
          <w:szCs w:val="32"/>
          <w:highlight w:val="none"/>
          <w:lang w:val="en-US" w:eastAsia="zh-CN"/>
        </w:rPr>
        <w:t>1.</w:t>
      </w:r>
      <w:r>
        <w:rPr>
          <w:rFonts w:hint="eastAsia" w:ascii="仿宋_GB2312" w:hAnsi="仿宋_GB2312" w:eastAsia="仿宋_GB2312" w:cs="仿宋_GB2312"/>
          <w:b/>
          <w:bCs/>
          <w:color w:val="auto"/>
          <w:kern w:val="2"/>
          <w:sz w:val="32"/>
          <w:szCs w:val="32"/>
          <w:highlight w:val="none"/>
          <w:lang w:eastAsia="zh-CN"/>
        </w:rPr>
        <w:t>党政综合办公室（财政所）。</w:t>
      </w:r>
      <w:r>
        <w:rPr>
          <w:rFonts w:hint="eastAsia" w:ascii="Times New Roman" w:hAnsi="Times New Roman" w:eastAsia="仿宋_GB2312" w:cs="Times New Roman"/>
          <w:b w:val="0"/>
          <w:bCs w:val="0"/>
          <w:color w:val="auto"/>
          <w:kern w:val="2"/>
          <w:sz w:val="32"/>
          <w:szCs w:val="32"/>
          <w:highlight w:val="none"/>
          <w:lang w:eastAsia="zh-CN"/>
        </w:rPr>
        <w:t>主要职责：宣传贯彻党的路线、方针、政策和执行本级党组织决议，贯彻落实意识形态工作决策部署；负责党风廉政建设和反腐败工作；贯彻落实加强基层党组织标准化规范化建设的决策部署；负责基层党员队伍和干部队伍建设、规范基层党组织政治生活、非公有制经济组织和社会组织党建、村集体经济发展、远程教育站点的维护使用等工作；指导村级组织换届选举工作；</w:t>
      </w:r>
      <w:r>
        <w:rPr>
          <w:rFonts w:hint="eastAsia" w:ascii="Times New Roman" w:hAnsi="Times New Roman" w:eastAsia="仿宋_GB2312" w:cs="Times New Roman"/>
          <w:b/>
          <w:bCs/>
          <w:color w:val="auto"/>
          <w:kern w:val="2"/>
          <w:sz w:val="32"/>
          <w:szCs w:val="32"/>
          <w:highlight w:val="none"/>
          <w:lang w:eastAsia="zh-CN"/>
        </w:rPr>
        <w:t>负责强基惠民工作；</w:t>
      </w:r>
      <w:r>
        <w:rPr>
          <w:rFonts w:hint="eastAsia" w:ascii="Times New Roman" w:hAnsi="Times New Roman" w:eastAsia="仿宋_GB2312" w:cs="Times New Roman"/>
          <w:b w:val="0"/>
          <w:bCs w:val="0"/>
          <w:color w:val="auto"/>
          <w:kern w:val="2"/>
          <w:sz w:val="32"/>
          <w:szCs w:val="32"/>
          <w:highlight w:val="none"/>
          <w:lang w:eastAsia="zh-CN"/>
        </w:rPr>
        <w:t>负责人大主席团日常事务；负责人大代表和政协委员日常联络服务工作；负责工会、共青团、妇联等群众团体工作；负责财政资金管理、国有资产管理和村级财务监督管理等工作；负责后勤服务管理等工作。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Times New Roman" w:hAnsi="Times New Roman" w:eastAsia="仿宋_GB2312" w:cs="Times New Roman"/>
          <w:b w:val="0"/>
          <w:bCs w:val="0"/>
          <w:color w:val="auto"/>
          <w:kern w:val="2"/>
          <w:sz w:val="32"/>
          <w:szCs w:val="32"/>
          <w:highlight w:val="none"/>
          <w:lang w:eastAsia="zh-CN"/>
        </w:rPr>
      </w:pPr>
      <w:r>
        <w:rPr>
          <w:rFonts w:hint="eastAsia" w:ascii="仿宋_GB2312" w:hAnsi="仿宋_GB2312" w:eastAsia="仿宋_GB2312" w:cs="仿宋_GB2312"/>
          <w:b/>
          <w:bCs/>
          <w:color w:val="auto"/>
          <w:kern w:val="2"/>
          <w:sz w:val="32"/>
          <w:szCs w:val="32"/>
          <w:highlight w:val="none"/>
          <w:lang w:val="en-US" w:eastAsia="zh-CN"/>
        </w:rPr>
        <w:t>2.</w:t>
      </w:r>
      <w:r>
        <w:rPr>
          <w:rFonts w:hint="eastAsia" w:ascii="Times New Roman" w:hAnsi="Times New Roman" w:eastAsia="仿宋_GB2312" w:cs="Times New Roman"/>
          <w:b/>
          <w:bCs/>
          <w:color w:val="auto"/>
          <w:kern w:val="2"/>
          <w:sz w:val="32"/>
          <w:szCs w:val="32"/>
          <w:highlight w:val="none"/>
        </w:rPr>
        <w:t>经济发展办公室</w:t>
      </w:r>
      <w:r>
        <w:rPr>
          <w:rFonts w:hint="eastAsia" w:ascii="Times New Roman" w:hAnsi="Times New Roman" w:eastAsia="仿宋_GB2312" w:cs="Times New Roman"/>
          <w:b/>
          <w:bCs/>
          <w:color w:val="auto"/>
          <w:kern w:val="2"/>
          <w:sz w:val="32"/>
          <w:szCs w:val="32"/>
          <w:highlight w:val="none"/>
          <w:lang w:eastAsia="zh-CN"/>
        </w:rPr>
        <w:t>。</w:t>
      </w:r>
      <w:r>
        <w:rPr>
          <w:rFonts w:hint="eastAsia" w:ascii="Times New Roman" w:hAnsi="Times New Roman" w:eastAsia="仿宋_GB2312" w:cs="Times New Roman"/>
          <w:b w:val="0"/>
          <w:bCs w:val="0"/>
          <w:color w:val="auto"/>
          <w:kern w:val="2"/>
          <w:sz w:val="32"/>
          <w:szCs w:val="32"/>
          <w:highlight w:val="none"/>
        </w:rPr>
        <w:t>主要</w:t>
      </w:r>
      <w:r>
        <w:rPr>
          <w:rFonts w:hint="eastAsia" w:ascii="Times New Roman" w:hAnsi="Times New Roman" w:eastAsia="仿宋_GB2312" w:cs="Times New Roman"/>
          <w:b w:val="0"/>
          <w:bCs w:val="0"/>
          <w:color w:val="auto"/>
          <w:kern w:val="2"/>
          <w:sz w:val="32"/>
          <w:szCs w:val="32"/>
          <w:highlight w:val="none"/>
          <w:lang w:eastAsia="zh-CN"/>
        </w:rPr>
        <w:t>职</w:t>
      </w:r>
      <w:r>
        <w:rPr>
          <w:rFonts w:hint="eastAsia" w:ascii="Times New Roman" w:hAnsi="Times New Roman" w:eastAsia="仿宋_GB2312" w:cs="Times New Roman"/>
          <w:b w:val="0"/>
          <w:bCs w:val="0"/>
          <w:color w:val="auto"/>
          <w:kern w:val="2"/>
          <w:sz w:val="32"/>
          <w:szCs w:val="32"/>
          <w:highlight w:val="none"/>
        </w:rPr>
        <w:t>责</w:t>
      </w:r>
      <w:r>
        <w:rPr>
          <w:rFonts w:hint="eastAsia" w:ascii="Times New Roman" w:hAnsi="Times New Roman" w:eastAsia="仿宋_GB2312" w:cs="Times New Roman"/>
          <w:b w:val="0"/>
          <w:bCs w:val="0"/>
          <w:color w:val="auto"/>
          <w:kern w:val="2"/>
          <w:sz w:val="32"/>
          <w:szCs w:val="32"/>
          <w:highlight w:val="none"/>
          <w:lang w:eastAsia="zh-CN"/>
        </w:rPr>
        <w:t>：负责制定经济社会发展规划并组织实施；落实乡村振兴战略，巩固拓展脱贫攻坚成果；负责美丽乡村规划建设、产业发展、农牧业综合开发等工作；负责乡镇规划、公共基础设施建设等工作；负责劳动就业、社会保障、科技教育、卫生医疗、民生保障、</w:t>
      </w:r>
      <w:r>
        <w:rPr>
          <w:rFonts w:hint="eastAsia" w:ascii="Times New Roman" w:hAnsi="Times New Roman" w:eastAsia="仿宋_GB2312" w:cs="Times New Roman"/>
          <w:b/>
          <w:bCs/>
          <w:color w:val="auto"/>
          <w:kern w:val="2"/>
          <w:sz w:val="32"/>
          <w:szCs w:val="32"/>
          <w:highlight w:val="none"/>
          <w:lang w:eastAsia="zh-CN"/>
        </w:rPr>
        <w:t>人民武装、</w:t>
      </w:r>
      <w:r>
        <w:rPr>
          <w:rFonts w:hint="eastAsia" w:ascii="Times New Roman" w:hAnsi="Times New Roman" w:eastAsia="仿宋_GB2312" w:cs="Times New Roman"/>
          <w:b w:val="0"/>
          <w:bCs w:val="0"/>
          <w:color w:val="auto"/>
          <w:kern w:val="2"/>
          <w:sz w:val="32"/>
          <w:szCs w:val="32"/>
          <w:highlight w:val="none"/>
          <w:lang w:eastAsia="zh-CN"/>
        </w:rPr>
        <w:t>民政优抚、救灾救济、社会救助、教育体育、残疾人权益保障等工作。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Times New Roman" w:hAnsi="Times New Roman" w:eastAsia="仿宋_GB2312" w:cs="Times New Roman"/>
          <w:b w:val="0"/>
          <w:bCs w:val="0"/>
          <w:color w:val="auto"/>
          <w:kern w:val="2"/>
          <w:sz w:val="32"/>
          <w:szCs w:val="32"/>
          <w:highlight w:val="none"/>
          <w:u w:val="none"/>
          <w:lang w:eastAsia="zh-CN"/>
        </w:rPr>
      </w:pPr>
      <w:r>
        <w:rPr>
          <w:rFonts w:hint="eastAsia" w:ascii="仿宋_GB2312" w:hAnsi="仿宋_GB2312" w:eastAsia="仿宋_GB2312" w:cs="仿宋_GB2312"/>
          <w:b/>
          <w:bCs/>
          <w:color w:val="auto"/>
          <w:kern w:val="2"/>
          <w:sz w:val="32"/>
          <w:szCs w:val="32"/>
          <w:highlight w:val="none"/>
          <w:lang w:val="en-US" w:eastAsia="zh-CN"/>
        </w:rPr>
        <w:t>3.</w:t>
      </w:r>
      <w:r>
        <w:rPr>
          <w:rFonts w:hint="eastAsia" w:ascii="Times New Roman" w:hAnsi="Times New Roman" w:eastAsia="仿宋_GB2312" w:cs="Times New Roman"/>
          <w:b/>
          <w:bCs/>
          <w:color w:val="auto"/>
          <w:kern w:val="2"/>
          <w:sz w:val="32"/>
          <w:szCs w:val="32"/>
          <w:highlight w:val="none"/>
          <w:lang w:eastAsia="zh-CN"/>
        </w:rPr>
        <w:t>平安建设办公室</w:t>
      </w:r>
      <w:r>
        <w:rPr>
          <w:rFonts w:hint="eastAsia" w:ascii="Times New Roman" w:hAnsi="Times New Roman" w:eastAsia="仿宋_GB2312" w:cs="Times New Roman"/>
          <w:b/>
          <w:bCs/>
          <w:color w:val="auto"/>
          <w:kern w:val="2"/>
          <w:sz w:val="32"/>
          <w:szCs w:val="32"/>
          <w:highlight w:val="none"/>
        </w:rPr>
        <w:t>（</w:t>
      </w:r>
      <w:r>
        <w:rPr>
          <w:rFonts w:hint="eastAsia" w:ascii="Times New Roman" w:hAnsi="Times New Roman" w:eastAsia="仿宋_GB2312" w:cs="Times New Roman"/>
          <w:b/>
          <w:bCs/>
          <w:color w:val="auto"/>
          <w:kern w:val="2"/>
          <w:sz w:val="32"/>
          <w:szCs w:val="32"/>
          <w:highlight w:val="none"/>
          <w:lang w:eastAsia="zh-CN"/>
        </w:rPr>
        <w:t>应急管理办公室</w:t>
      </w:r>
      <w:r>
        <w:rPr>
          <w:rFonts w:hint="eastAsia" w:ascii="Times New Roman" w:hAnsi="Times New Roman" w:eastAsia="仿宋_GB2312" w:cs="Times New Roman"/>
          <w:b/>
          <w:bCs/>
          <w:color w:val="auto"/>
          <w:kern w:val="2"/>
          <w:sz w:val="32"/>
          <w:szCs w:val="32"/>
          <w:highlight w:val="none"/>
        </w:rPr>
        <w:t>）</w:t>
      </w:r>
      <w:r>
        <w:rPr>
          <w:rFonts w:hint="eastAsia" w:ascii="Times New Roman" w:hAnsi="Times New Roman" w:eastAsia="仿宋_GB2312" w:cs="Times New Roman"/>
          <w:b/>
          <w:bCs/>
          <w:color w:val="auto"/>
          <w:kern w:val="2"/>
          <w:sz w:val="32"/>
          <w:szCs w:val="32"/>
          <w:highlight w:val="none"/>
          <w:lang w:eastAsia="zh-CN"/>
        </w:rPr>
        <w:t>。</w:t>
      </w:r>
      <w:r>
        <w:rPr>
          <w:rFonts w:hint="eastAsia" w:ascii="Times New Roman" w:hAnsi="Times New Roman" w:eastAsia="仿宋_GB2312" w:cs="Times New Roman"/>
          <w:b w:val="0"/>
          <w:bCs w:val="0"/>
          <w:color w:val="auto"/>
          <w:kern w:val="2"/>
          <w:sz w:val="32"/>
          <w:szCs w:val="32"/>
          <w:highlight w:val="none"/>
          <w:lang w:eastAsia="zh-CN"/>
        </w:rPr>
        <w:t>主要职责：负责基层平安建设等工作；负责综合治理、信访维稳、</w:t>
      </w:r>
      <w:r>
        <w:rPr>
          <w:rFonts w:hint="eastAsia" w:ascii="Times New Roman" w:hAnsi="Times New Roman" w:eastAsia="仿宋_GB2312" w:cs="Times New Roman"/>
          <w:b w:val="0"/>
          <w:bCs w:val="0"/>
          <w:color w:val="auto"/>
          <w:kern w:val="2"/>
          <w:sz w:val="32"/>
          <w:szCs w:val="32"/>
          <w:highlight w:val="none"/>
          <w:u w:val="none"/>
          <w:lang w:eastAsia="zh-CN"/>
        </w:rPr>
        <w:t>网格化管理、“双联户”管理、扫黑除恶、矛盾纠纷排查调处、重点人员管控</w:t>
      </w:r>
      <w:r>
        <w:rPr>
          <w:rFonts w:hint="eastAsia" w:ascii="Times New Roman" w:hAnsi="Times New Roman" w:eastAsia="仿宋_GB2312" w:cs="Times New Roman"/>
          <w:b w:val="0"/>
          <w:bCs w:val="0"/>
          <w:color w:val="auto"/>
          <w:kern w:val="2"/>
          <w:sz w:val="32"/>
          <w:szCs w:val="32"/>
          <w:highlight w:val="none"/>
          <w:lang w:eastAsia="zh-CN"/>
        </w:rPr>
        <w:t>等工作；</w:t>
      </w:r>
      <w:r>
        <w:rPr>
          <w:rFonts w:hint="eastAsia" w:ascii="Times New Roman" w:hAnsi="Times New Roman" w:eastAsia="仿宋_GB2312" w:cs="Times New Roman"/>
          <w:b w:val="0"/>
          <w:bCs w:val="0"/>
          <w:color w:val="auto"/>
          <w:kern w:val="2"/>
          <w:sz w:val="32"/>
          <w:szCs w:val="32"/>
          <w:highlight w:val="none"/>
          <w:u w:val="none"/>
          <w:lang w:eastAsia="zh-CN"/>
        </w:rPr>
        <w:t>负责反分裂斗争、维护国家安全、民族宗教事务管理等工作；负责安全生产监督管理，协调处置应急突发事件、群体性事件等工作。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Times New Roman" w:hAnsi="Times New Roman" w:eastAsia="仿宋_GB2312" w:cs="Times New Roman"/>
          <w:b w:val="0"/>
          <w:bCs w:val="0"/>
          <w:color w:val="auto"/>
          <w:kern w:val="2"/>
          <w:sz w:val="32"/>
          <w:szCs w:val="32"/>
          <w:highlight w:val="none"/>
          <w:u w:val="none"/>
          <w:lang w:eastAsia="zh-CN"/>
        </w:rPr>
      </w:pPr>
      <w:r>
        <w:rPr>
          <w:rFonts w:hint="eastAsia" w:ascii="仿宋_GB2312" w:hAnsi="仿宋_GB2312" w:eastAsia="仿宋_GB2312" w:cs="仿宋_GB2312"/>
          <w:b/>
          <w:bCs/>
          <w:color w:val="auto"/>
          <w:kern w:val="2"/>
          <w:sz w:val="32"/>
          <w:szCs w:val="32"/>
          <w:highlight w:val="none"/>
          <w:u w:val="none"/>
          <w:lang w:val="en-US" w:eastAsia="zh-CN"/>
        </w:rPr>
        <w:t>4.</w:t>
      </w:r>
      <w:r>
        <w:rPr>
          <w:rFonts w:hint="eastAsia" w:ascii="Times New Roman" w:hAnsi="Times New Roman" w:eastAsia="仿宋_GB2312" w:cs="Times New Roman"/>
          <w:b/>
          <w:bCs/>
          <w:color w:val="auto"/>
          <w:kern w:val="2"/>
          <w:sz w:val="32"/>
          <w:szCs w:val="32"/>
          <w:highlight w:val="none"/>
          <w:u w:val="none"/>
          <w:lang w:eastAsia="zh-CN"/>
        </w:rPr>
        <w:t>综合行政执法办公室。</w:t>
      </w:r>
      <w:r>
        <w:rPr>
          <w:rFonts w:hint="eastAsia" w:ascii="Times New Roman" w:hAnsi="Times New Roman" w:eastAsia="仿宋_GB2312" w:cs="Times New Roman"/>
          <w:b w:val="0"/>
          <w:bCs w:val="0"/>
          <w:color w:val="auto"/>
          <w:kern w:val="2"/>
          <w:sz w:val="32"/>
          <w:szCs w:val="32"/>
          <w:highlight w:val="none"/>
          <w:u w:val="none"/>
          <w:lang w:eastAsia="zh-CN"/>
        </w:rPr>
        <w:t>主要职责：负责违法信息收集和执法情况反馈，联系和配合各领域执法队开展联合执法；负责涉及劳动保障监察、自然资源、生态环境保护、住房和城乡建设、交通运输、水利、农业、文化、卫生健康、旅游、应急、市场监管等技术含量较低的执法工作或者以上部门下放或委托的执法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Times New Roman" w:hAnsi="Times New Roman" w:eastAsia="仿宋_GB2312" w:cs="Times New Roman"/>
          <w:b w:val="0"/>
          <w:bCs w:val="0"/>
          <w:color w:val="auto"/>
          <w:kern w:val="2"/>
          <w:sz w:val="32"/>
          <w:szCs w:val="32"/>
          <w:highlight w:val="none"/>
          <w:u w:val="none"/>
          <w:lang w:eastAsia="zh-CN"/>
        </w:rPr>
      </w:pPr>
      <w:r>
        <w:rPr>
          <w:rFonts w:hint="eastAsia" w:ascii="仿宋_GB2312" w:hAnsi="仿宋_GB2312" w:eastAsia="仿宋_GB2312" w:cs="仿宋_GB2312"/>
          <w:b/>
          <w:bCs/>
          <w:color w:val="auto"/>
          <w:kern w:val="2"/>
          <w:sz w:val="32"/>
          <w:szCs w:val="32"/>
          <w:highlight w:val="none"/>
          <w:u w:val="none"/>
          <w:lang w:val="en-US" w:eastAsia="zh-CN"/>
        </w:rPr>
        <w:t>5.</w:t>
      </w:r>
      <w:r>
        <w:rPr>
          <w:rFonts w:hint="eastAsia" w:ascii="仿宋_GB2312" w:hAnsi="仿宋_GB2312" w:eastAsia="仿宋_GB2312" w:cs="仿宋_GB2312"/>
          <w:b/>
          <w:bCs/>
          <w:color w:val="auto"/>
          <w:kern w:val="2"/>
          <w:sz w:val="32"/>
          <w:szCs w:val="32"/>
          <w:highlight w:val="none"/>
          <w:u w:val="none"/>
          <w:lang w:eastAsia="zh-CN"/>
        </w:rPr>
        <w:t>城市综合服务管理办公室。</w:t>
      </w:r>
      <w:r>
        <w:rPr>
          <w:rFonts w:hint="eastAsia" w:ascii="Times New Roman" w:hAnsi="Times New Roman" w:eastAsia="仿宋_GB2312" w:cs="Times New Roman"/>
          <w:b w:val="0"/>
          <w:bCs w:val="0"/>
          <w:color w:val="auto"/>
          <w:kern w:val="2"/>
          <w:sz w:val="32"/>
          <w:szCs w:val="32"/>
          <w:highlight w:val="none"/>
          <w:u w:val="none"/>
          <w:lang w:eastAsia="zh-CN"/>
        </w:rPr>
        <w:t>主要职责：负责城市管理、爱国卫生工作，负责组织、指导和开展系列文明创建活动；负责村（社区）建设、违建管控、房屋和物业管理、人民防空等工作；承担优化营商环境、协调服务企业发展和对各类市场主体及经营行为日常监管等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Times New Roman" w:hAnsi="Times New Roman" w:eastAsia="仿宋_GB2312" w:cs="Times New Roman"/>
          <w:b w:val="0"/>
          <w:bCs w:val="0"/>
          <w:color w:val="auto"/>
          <w:kern w:val="2"/>
          <w:sz w:val="32"/>
          <w:szCs w:val="32"/>
          <w:highlight w:val="none"/>
          <w:u w:val="none"/>
          <w:lang w:eastAsia="zh-CN"/>
        </w:rPr>
      </w:pPr>
      <w:r>
        <w:rPr>
          <w:rFonts w:hint="eastAsia" w:ascii="仿宋_GB2312" w:hAnsi="仿宋_GB2312" w:eastAsia="仿宋_GB2312" w:cs="仿宋_GB2312"/>
          <w:b/>
          <w:bCs/>
          <w:color w:val="auto"/>
          <w:kern w:val="2"/>
          <w:sz w:val="32"/>
          <w:szCs w:val="32"/>
          <w:highlight w:val="none"/>
          <w:u w:val="none"/>
          <w:lang w:val="en-US" w:eastAsia="zh-CN"/>
        </w:rPr>
        <w:t>6.**事务协调办公室（生态环境和自然资源办公室）。</w:t>
      </w:r>
      <w:r>
        <w:rPr>
          <w:rFonts w:hint="eastAsia" w:ascii="Times New Roman" w:hAnsi="Times New Roman" w:eastAsia="仿宋_GB2312" w:cs="Times New Roman"/>
          <w:b w:val="0"/>
          <w:bCs w:val="0"/>
          <w:color w:val="auto"/>
          <w:kern w:val="2"/>
          <w:sz w:val="32"/>
          <w:szCs w:val="32"/>
          <w:highlight w:val="none"/>
          <w:u w:val="none"/>
          <w:lang w:eastAsia="zh-CN"/>
        </w:rPr>
        <w:t>主要职责：负责反分裂斗争的宣传，边民的教育引导工作；负责协调配合抵</w:t>
      </w:r>
      <w:r>
        <w:rPr>
          <w:rFonts w:hint="eastAsia" w:ascii="Times New Roman" w:hAnsi="Times New Roman" w:eastAsia="仿宋_GB2312" w:cs="Times New Roman"/>
          <w:b w:val="0"/>
          <w:bCs w:val="0"/>
          <w:color w:val="auto"/>
          <w:kern w:val="2"/>
          <w:sz w:val="32"/>
          <w:szCs w:val="32"/>
          <w:highlight w:val="none"/>
          <w:u w:val="none"/>
          <w:lang w:val="en-US" w:eastAsia="zh-CN"/>
        </w:rPr>
        <w:t>*</w:t>
      </w:r>
      <w:r>
        <w:rPr>
          <w:rFonts w:hint="eastAsia" w:ascii="Times New Roman" w:hAnsi="Times New Roman" w:eastAsia="仿宋_GB2312" w:cs="Times New Roman"/>
          <w:b w:val="0"/>
          <w:bCs w:val="0"/>
          <w:color w:val="auto"/>
          <w:kern w:val="2"/>
          <w:sz w:val="32"/>
          <w:szCs w:val="32"/>
          <w:highlight w:val="none"/>
          <w:u w:val="none"/>
          <w:lang w:eastAsia="zh-CN"/>
        </w:rPr>
        <w:t>搬迁、</w:t>
      </w:r>
      <w:r>
        <w:rPr>
          <w:rFonts w:hint="eastAsia" w:ascii="Times New Roman" w:hAnsi="Times New Roman" w:eastAsia="仿宋_GB2312" w:cs="Times New Roman"/>
          <w:b w:val="0"/>
          <w:bCs w:val="0"/>
          <w:color w:val="auto"/>
          <w:kern w:val="2"/>
          <w:sz w:val="32"/>
          <w:szCs w:val="32"/>
          <w:highlight w:val="none"/>
          <w:u w:val="none"/>
          <w:lang w:val="en-US" w:eastAsia="zh-CN"/>
        </w:rPr>
        <w:t>**</w:t>
      </w:r>
      <w:r>
        <w:rPr>
          <w:rFonts w:hint="eastAsia" w:ascii="Times New Roman" w:hAnsi="Times New Roman" w:eastAsia="仿宋_GB2312" w:cs="Times New Roman"/>
          <w:b w:val="0"/>
          <w:bCs w:val="0"/>
          <w:color w:val="auto"/>
          <w:kern w:val="2"/>
          <w:sz w:val="32"/>
          <w:szCs w:val="32"/>
          <w:highlight w:val="none"/>
          <w:u w:val="none"/>
          <w:lang w:eastAsia="zh-CN"/>
        </w:rPr>
        <w:t>小康村项目建设工作；负责做好守</w:t>
      </w:r>
      <w:r>
        <w:rPr>
          <w:rFonts w:hint="eastAsia" w:ascii="Times New Roman" w:hAnsi="Times New Roman" w:eastAsia="仿宋_GB2312" w:cs="Times New Roman"/>
          <w:b w:val="0"/>
          <w:bCs w:val="0"/>
          <w:color w:val="auto"/>
          <w:kern w:val="2"/>
          <w:sz w:val="32"/>
          <w:szCs w:val="32"/>
          <w:highlight w:val="none"/>
          <w:u w:val="none"/>
          <w:lang w:val="en-US" w:eastAsia="zh-CN"/>
        </w:rPr>
        <w:t>*</w:t>
      </w:r>
      <w:r>
        <w:rPr>
          <w:rFonts w:hint="eastAsia" w:ascii="Times New Roman" w:hAnsi="Times New Roman" w:eastAsia="仿宋_GB2312" w:cs="Times New Roman"/>
          <w:b w:val="0"/>
          <w:bCs w:val="0"/>
          <w:color w:val="auto"/>
          <w:kern w:val="2"/>
          <w:sz w:val="32"/>
          <w:szCs w:val="32"/>
          <w:highlight w:val="none"/>
          <w:u w:val="none"/>
          <w:lang w:eastAsia="zh-CN"/>
        </w:rPr>
        <w:t>、固</w:t>
      </w:r>
      <w:r>
        <w:rPr>
          <w:rFonts w:hint="eastAsia" w:ascii="Times New Roman" w:hAnsi="Times New Roman" w:eastAsia="仿宋_GB2312" w:cs="Times New Roman"/>
          <w:b w:val="0"/>
          <w:bCs w:val="0"/>
          <w:color w:val="auto"/>
          <w:kern w:val="2"/>
          <w:sz w:val="32"/>
          <w:szCs w:val="32"/>
          <w:highlight w:val="none"/>
          <w:u w:val="none"/>
          <w:lang w:val="en-US" w:eastAsia="zh-CN"/>
        </w:rPr>
        <w:t>*</w:t>
      </w:r>
      <w:r>
        <w:rPr>
          <w:rFonts w:hint="eastAsia" w:ascii="Times New Roman" w:hAnsi="Times New Roman" w:eastAsia="仿宋_GB2312" w:cs="Times New Roman"/>
          <w:b w:val="0"/>
          <w:bCs w:val="0"/>
          <w:color w:val="auto"/>
          <w:kern w:val="2"/>
          <w:sz w:val="32"/>
          <w:szCs w:val="32"/>
          <w:highlight w:val="none"/>
          <w:u w:val="none"/>
          <w:lang w:eastAsia="zh-CN"/>
        </w:rPr>
        <w:t>、兴</w:t>
      </w:r>
      <w:r>
        <w:rPr>
          <w:rFonts w:hint="eastAsia" w:ascii="Times New Roman" w:hAnsi="Times New Roman" w:eastAsia="仿宋_GB2312" w:cs="Times New Roman"/>
          <w:b w:val="0"/>
          <w:bCs w:val="0"/>
          <w:color w:val="auto"/>
          <w:kern w:val="2"/>
          <w:sz w:val="32"/>
          <w:szCs w:val="32"/>
          <w:highlight w:val="none"/>
          <w:u w:val="none"/>
          <w:lang w:val="en-US" w:eastAsia="zh-CN"/>
        </w:rPr>
        <w:t>*</w:t>
      </w:r>
      <w:r>
        <w:rPr>
          <w:rFonts w:hint="eastAsia" w:ascii="Times New Roman" w:hAnsi="Times New Roman" w:eastAsia="仿宋_GB2312" w:cs="Times New Roman"/>
          <w:b w:val="0"/>
          <w:bCs w:val="0"/>
          <w:color w:val="auto"/>
          <w:kern w:val="2"/>
          <w:sz w:val="32"/>
          <w:szCs w:val="32"/>
          <w:highlight w:val="none"/>
          <w:u w:val="none"/>
          <w:lang w:eastAsia="zh-CN"/>
        </w:rPr>
        <w:t>、富</w:t>
      </w:r>
      <w:r>
        <w:rPr>
          <w:rFonts w:hint="eastAsia" w:ascii="Times New Roman" w:hAnsi="Times New Roman" w:eastAsia="仿宋_GB2312" w:cs="Times New Roman"/>
          <w:b w:val="0"/>
          <w:bCs w:val="0"/>
          <w:color w:val="auto"/>
          <w:kern w:val="2"/>
          <w:sz w:val="32"/>
          <w:szCs w:val="32"/>
          <w:highlight w:val="none"/>
          <w:u w:val="none"/>
          <w:lang w:val="en-US" w:eastAsia="zh-CN"/>
        </w:rPr>
        <w:t>*</w:t>
      </w:r>
      <w:r>
        <w:rPr>
          <w:rFonts w:hint="eastAsia" w:ascii="Times New Roman" w:hAnsi="Times New Roman" w:eastAsia="仿宋_GB2312" w:cs="Times New Roman"/>
          <w:b w:val="0"/>
          <w:bCs w:val="0"/>
          <w:color w:val="auto"/>
          <w:kern w:val="2"/>
          <w:sz w:val="32"/>
          <w:szCs w:val="32"/>
          <w:highlight w:val="none"/>
          <w:u w:val="none"/>
          <w:lang w:eastAsia="zh-CN"/>
        </w:rPr>
        <w:t>等工作；负责做好</w:t>
      </w:r>
      <w:r>
        <w:rPr>
          <w:rFonts w:hint="eastAsia" w:ascii="Times New Roman" w:hAnsi="Times New Roman" w:eastAsia="仿宋_GB2312" w:cs="Times New Roman"/>
          <w:b w:val="0"/>
          <w:bCs w:val="0"/>
          <w:color w:val="auto"/>
          <w:kern w:val="2"/>
          <w:sz w:val="32"/>
          <w:szCs w:val="32"/>
          <w:highlight w:val="none"/>
          <w:u w:val="none"/>
          <w:lang w:val="en-US" w:eastAsia="zh-CN"/>
        </w:rPr>
        <w:t>**</w:t>
      </w:r>
      <w:r>
        <w:rPr>
          <w:rFonts w:hint="eastAsia" w:ascii="Times New Roman" w:hAnsi="Times New Roman" w:eastAsia="仿宋_GB2312" w:cs="Times New Roman"/>
          <w:b w:val="0"/>
          <w:bCs w:val="0"/>
          <w:color w:val="auto"/>
          <w:kern w:val="2"/>
          <w:sz w:val="32"/>
          <w:szCs w:val="32"/>
          <w:highlight w:val="none"/>
          <w:u w:val="none"/>
          <w:lang w:eastAsia="zh-CN"/>
        </w:rPr>
        <w:t>管控、屯兵安民、反蚕食，促进</w:t>
      </w:r>
      <w:r>
        <w:rPr>
          <w:rFonts w:hint="eastAsia" w:ascii="Times New Roman" w:hAnsi="Times New Roman" w:eastAsia="仿宋_GB2312" w:cs="Times New Roman"/>
          <w:b w:val="0"/>
          <w:bCs w:val="0"/>
          <w:color w:val="auto"/>
          <w:kern w:val="2"/>
          <w:sz w:val="32"/>
          <w:szCs w:val="32"/>
          <w:highlight w:val="none"/>
          <w:u w:val="none"/>
          <w:lang w:val="en-US" w:eastAsia="zh-CN"/>
        </w:rPr>
        <w:t>**</w:t>
      </w:r>
      <w:r>
        <w:rPr>
          <w:rFonts w:hint="eastAsia" w:ascii="Times New Roman" w:hAnsi="Times New Roman" w:eastAsia="仿宋_GB2312" w:cs="Times New Roman"/>
          <w:b w:val="0"/>
          <w:bCs w:val="0"/>
          <w:color w:val="auto"/>
          <w:kern w:val="2"/>
          <w:sz w:val="32"/>
          <w:szCs w:val="32"/>
          <w:highlight w:val="none"/>
          <w:u w:val="none"/>
          <w:lang w:eastAsia="zh-CN"/>
        </w:rPr>
        <w:t>深度融合发展，筑牢强边固防钢铁长城等工作；负责生态环境和自然资源相关工作</w:t>
      </w:r>
      <w:r>
        <w:rPr>
          <w:rFonts w:hint="eastAsia" w:eastAsia="仿宋_GB2312" w:cs="Times New Roman"/>
          <w:b w:val="0"/>
          <w:bCs w:val="0"/>
          <w:color w:val="auto"/>
          <w:kern w:val="2"/>
          <w:sz w:val="32"/>
          <w:szCs w:val="32"/>
          <w:highlight w:val="none"/>
          <w:u w:val="none"/>
          <w:lang w:eastAsia="zh-CN"/>
        </w:rPr>
        <w:t>，</w:t>
      </w:r>
      <w:r>
        <w:rPr>
          <w:rFonts w:hint="eastAsia" w:ascii="Times New Roman" w:hAnsi="Times New Roman" w:eastAsia="仿宋_GB2312" w:cs="Times New Roman"/>
          <w:b w:val="0"/>
          <w:bCs w:val="0"/>
          <w:color w:val="auto"/>
          <w:kern w:val="2"/>
          <w:sz w:val="32"/>
          <w:szCs w:val="32"/>
          <w:highlight w:val="none"/>
          <w:u w:val="none"/>
          <w:lang w:eastAsia="zh-CN"/>
        </w:rPr>
        <w:t>负责生态环境保护、森林草原防灭火、防汛抗旱等工作；负责辖区环境卫生整治创建工作；负责地质灾害隐患的排查上报等工作；负责生态环境污染事故与生态破坏事件的发现、上报等工作；做好虫草资源、林下资源、野生动植物保护、渔业、林业服务管理、森林资源保护和水利资源的管理保护等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楷体_GB2312" w:hAnsi="楷体_GB2312" w:eastAsia="楷体_GB2312" w:cs="楷体_GB2312"/>
          <w:b/>
          <w:bCs/>
          <w:color w:val="auto"/>
          <w:kern w:val="2"/>
          <w:sz w:val="32"/>
          <w:szCs w:val="32"/>
          <w:highlight w:val="none"/>
          <w:u w:val="none"/>
          <w:lang w:eastAsia="zh-CN"/>
        </w:rPr>
      </w:pPr>
      <w:r>
        <w:rPr>
          <w:rFonts w:hint="eastAsia" w:ascii="楷体_GB2312" w:hAnsi="楷体_GB2312" w:eastAsia="楷体_GB2312" w:cs="楷体_GB2312"/>
          <w:b/>
          <w:bCs/>
          <w:color w:val="auto"/>
          <w:kern w:val="2"/>
          <w:sz w:val="32"/>
          <w:szCs w:val="32"/>
          <w:highlight w:val="none"/>
          <w:u w:val="none"/>
          <w:lang w:val="en-US" w:eastAsia="zh-CN"/>
        </w:rPr>
        <w:t>（二）</w:t>
      </w:r>
      <w:r>
        <w:rPr>
          <w:rFonts w:hint="eastAsia" w:ascii="楷体_GB2312" w:hAnsi="楷体_GB2312" w:eastAsia="楷体_GB2312" w:cs="楷体_GB2312"/>
          <w:b/>
          <w:bCs/>
          <w:color w:val="auto"/>
          <w:kern w:val="2"/>
          <w:sz w:val="32"/>
          <w:szCs w:val="32"/>
          <w:highlight w:val="none"/>
          <w:u w:val="none"/>
          <w:lang w:eastAsia="zh-CN"/>
        </w:rPr>
        <w:t>事业单位</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Times New Roman" w:hAnsi="Times New Roman" w:eastAsia="仿宋_GB2312" w:cs="Times New Roman"/>
          <w:b w:val="0"/>
          <w:bCs w:val="0"/>
          <w:color w:val="auto"/>
          <w:kern w:val="2"/>
          <w:sz w:val="32"/>
          <w:szCs w:val="32"/>
          <w:highlight w:val="none"/>
          <w:u w:val="none"/>
          <w:lang w:val="en-US" w:eastAsia="zh-CN"/>
        </w:rPr>
      </w:pPr>
      <w:r>
        <w:rPr>
          <w:rFonts w:hint="eastAsia" w:ascii="仿宋_GB2312" w:hAnsi="仿宋_GB2312" w:eastAsia="仿宋_GB2312" w:cs="仿宋_GB2312"/>
          <w:b/>
          <w:bCs/>
          <w:color w:val="auto"/>
          <w:kern w:val="2"/>
          <w:sz w:val="32"/>
          <w:szCs w:val="32"/>
          <w:highlight w:val="none"/>
          <w:u w:val="none"/>
          <w:lang w:val="en-US" w:eastAsia="zh-CN"/>
        </w:rPr>
        <w:t>1.</w:t>
      </w:r>
      <w:r>
        <w:rPr>
          <w:rFonts w:hint="eastAsia" w:ascii="Times New Roman" w:hAnsi="Times New Roman" w:eastAsia="仿宋_GB2312" w:cs="Times New Roman"/>
          <w:b/>
          <w:bCs/>
          <w:color w:val="auto"/>
          <w:kern w:val="2"/>
          <w:sz w:val="32"/>
          <w:szCs w:val="32"/>
          <w:highlight w:val="none"/>
          <w:u w:val="none"/>
          <w:lang w:eastAsia="zh-CN"/>
        </w:rPr>
        <w:t>便民服务中心（退役军人服务站）。</w:t>
      </w:r>
      <w:r>
        <w:rPr>
          <w:rFonts w:hint="eastAsia" w:ascii="Times New Roman" w:hAnsi="Times New Roman" w:eastAsia="仿宋_GB2312" w:cs="Times New Roman"/>
          <w:b w:val="0"/>
          <w:bCs w:val="0"/>
          <w:color w:val="auto"/>
          <w:kern w:val="2"/>
          <w:sz w:val="32"/>
          <w:szCs w:val="32"/>
          <w:highlight w:val="none"/>
          <w:u w:val="none"/>
          <w:lang w:eastAsia="zh-CN"/>
        </w:rPr>
        <w:t>主要职责：承担面向群众提供一站式便民服务等工作；负责确定和调整进驻便民服务中心事项；推进便民服务中心规范化建设；加强对窗口工作人员的管理和培训；负责集中受理、办理、代办各类服务事项；接受群众咨询；受理工作人员违纪行为的投诉；指导村级便民服务工作；负责退役军人就业创业、优抚帮扶、权益保障、数据信息采集、走访慰问等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Times New Roman" w:hAnsi="Times New Roman" w:eastAsia="仿宋_GB2312" w:cs="Times New Roman"/>
          <w:b w:val="0"/>
          <w:bCs w:val="0"/>
          <w:color w:val="auto"/>
          <w:kern w:val="2"/>
          <w:sz w:val="32"/>
          <w:szCs w:val="32"/>
          <w:highlight w:val="none"/>
          <w:u w:val="none"/>
          <w:lang w:eastAsia="zh-CN"/>
        </w:rPr>
      </w:pPr>
      <w:r>
        <w:rPr>
          <w:rFonts w:hint="eastAsia" w:ascii="仿宋_GB2312" w:hAnsi="仿宋_GB2312" w:eastAsia="仿宋_GB2312" w:cs="仿宋_GB2312"/>
          <w:b/>
          <w:bCs/>
          <w:color w:val="auto"/>
          <w:kern w:val="2"/>
          <w:sz w:val="32"/>
          <w:szCs w:val="32"/>
          <w:highlight w:val="none"/>
          <w:u w:val="none"/>
          <w:lang w:val="en-US" w:eastAsia="zh-CN"/>
        </w:rPr>
        <w:t>2.</w:t>
      </w:r>
      <w:r>
        <w:rPr>
          <w:rFonts w:hint="eastAsia" w:ascii="Times New Roman" w:hAnsi="Times New Roman" w:eastAsia="仿宋_GB2312" w:cs="Times New Roman"/>
          <w:b/>
          <w:bCs/>
          <w:color w:val="auto"/>
          <w:kern w:val="2"/>
          <w:sz w:val="32"/>
          <w:szCs w:val="32"/>
          <w:highlight w:val="none"/>
          <w:u w:val="none"/>
          <w:lang w:eastAsia="zh-CN"/>
        </w:rPr>
        <w:t>农牧综合服务中心。</w:t>
      </w:r>
      <w:r>
        <w:rPr>
          <w:rFonts w:hint="eastAsia" w:ascii="Times New Roman" w:hAnsi="Times New Roman" w:eastAsia="仿宋_GB2312" w:cs="Times New Roman"/>
          <w:b w:val="0"/>
          <w:bCs w:val="0"/>
          <w:color w:val="auto"/>
          <w:kern w:val="2"/>
          <w:sz w:val="32"/>
          <w:szCs w:val="32"/>
          <w:highlight w:val="none"/>
          <w:u w:val="none"/>
          <w:lang w:eastAsia="zh-CN"/>
        </w:rPr>
        <w:t>主要职责：负责农业、畜牧业、林业、草原、水利等方面科学技术推广和技术咨询服务；负责农机安全、动植物疫病防控防治、林草保护、野生动植物保护等工作；负责村护林员、科技特派员、兽医、草原监管员、水管员等人员的培训和管理。</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Times New Roman" w:hAnsi="Times New Roman" w:eastAsia="仿宋_GB2312" w:cs="Times New Roman"/>
          <w:b w:val="0"/>
          <w:bCs w:val="0"/>
          <w:color w:val="auto"/>
          <w:kern w:val="2"/>
          <w:sz w:val="32"/>
          <w:szCs w:val="32"/>
          <w:highlight w:val="none"/>
          <w:u w:val="none"/>
          <w:lang w:val="en-US" w:eastAsia="zh-CN"/>
        </w:rPr>
      </w:pPr>
      <w:r>
        <w:rPr>
          <w:rFonts w:hint="eastAsia" w:ascii="仿宋_GB2312" w:hAnsi="仿宋_GB2312" w:eastAsia="仿宋_GB2312" w:cs="仿宋_GB2312"/>
          <w:b/>
          <w:bCs/>
          <w:color w:val="auto"/>
          <w:kern w:val="2"/>
          <w:sz w:val="32"/>
          <w:szCs w:val="32"/>
          <w:highlight w:val="none"/>
          <w:u w:val="none"/>
          <w:lang w:val="en-US" w:eastAsia="zh-CN"/>
        </w:rPr>
        <w:t>3.</w:t>
      </w:r>
      <w:r>
        <w:rPr>
          <w:rFonts w:hint="eastAsia" w:ascii="Times New Roman" w:hAnsi="Times New Roman" w:eastAsia="仿宋_GB2312" w:cs="Times New Roman"/>
          <w:b/>
          <w:bCs/>
          <w:color w:val="auto"/>
          <w:kern w:val="2"/>
          <w:sz w:val="32"/>
          <w:szCs w:val="32"/>
          <w:highlight w:val="none"/>
          <w:u w:val="none"/>
          <w:lang w:eastAsia="zh-CN"/>
        </w:rPr>
        <w:t>文化旅游综合服务中心。</w:t>
      </w:r>
      <w:r>
        <w:rPr>
          <w:rFonts w:hint="eastAsia" w:ascii="Times New Roman" w:hAnsi="Times New Roman" w:eastAsia="仿宋_GB2312" w:cs="Times New Roman"/>
          <w:b w:val="0"/>
          <w:bCs w:val="0"/>
          <w:color w:val="auto"/>
          <w:kern w:val="2"/>
          <w:sz w:val="32"/>
          <w:szCs w:val="32"/>
          <w:highlight w:val="none"/>
          <w:u w:val="none"/>
          <w:lang w:eastAsia="zh-CN"/>
        </w:rPr>
        <w:t>主要职责：</w:t>
      </w:r>
      <w:r>
        <w:rPr>
          <w:rFonts w:hint="eastAsia" w:ascii="Times New Roman" w:hAnsi="Times New Roman" w:eastAsia="仿宋_GB2312" w:cs="Times New Roman"/>
          <w:b w:val="0"/>
          <w:bCs w:val="0"/>
          <w:color w:val="auto"/>
          <w:kern w:val="2"/>
          <w:sz w:val="32"/>
          <w:szCs w:val="32"/>
          <w:highlight w:val="none"/>
          <w:u w:val="none"/>
          <w:lang w:val="en-US" w:eastAsia="zh-CN"/>
        </w:rPr>
        <w:t>负责文化、广播、电影、电视、图书、科学普及等工作;负责新时代文明实践活动，抓好理论宣讲教育、精神文明创建、文化体育活动、志愿者服务等工作；指导乡村两级文艺队开展各项活动；协助上级部门做好全县旅游政策措施、发展规划等相关工作。</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3" w:firstLineChars="200"/>
        <w:jc w:val="both"/>
        <w:textAlignment w:val="auto"/>
        <w:outlineLvl w:val="9"/>
        <w:rPr>
          <w:rFonts w:hint="eastAsia" w:ascii="Times New Roman" w:hAnsi="Times New Roman" w:eastAsia="仿宋_GB2312" w:cs="Times New Roman"/>
          <w:b w:val="0"/>
          <w:bCs w:val="0"/>
          <w:color w:val="auto"/>
          <w:kern w:val="2"/>
          <w:sz w:val="32"/>
          <w:szCs w:val="32"/>
          <w:highlight w:val="none"/>
          <w:u w:val="none"/>
          <w:lang w:val="en-US" w:eastAsia="zh-CN"/>
        </w:rPr>
      </w:pPr>
      <w:r>
        <w:rPr>
          <w:rFonts w:hint="eastAsia" w:ascii="仿宋_GB2312" w:hAnsi="仿宋_GB2312" w:eastAsia="仿宋_GB2312" w:cs="仿宋_GB2312"/>
          <w:b/>
          <w:bCs/>
          <w:color w:val="auto"/>
          <w:kern w:val="2"/>
          <w:sz w:val="32"/>
          <w:szCs w:val="32"/>
          <w:highlight w:val="none"/>
          <w:u w:val="none"/>
          <w:lang w:val="en-US" w:eastAsia="zh-CN"/>
        </w:rPr>
        <w:t>4.</w:t>
      </w:r>
      <w:r>
        <w:rPr>
          <w:rFonts w:hint="eastAsia" w:ascii="Times New Roman" w:hAnsi="Times New Roman" w:eastAsia="仿宋_GB2312" w:cs="Times New Roman"/>
          <w:b/>
          <w:bCs/>
          <w:color w:val="auto"/>
          <w:kern w:val="2"/>
          <w:sz w:val="32"/>
          <w:szCs w:val="32"/>
          <w:highlight w:val="none"/>
          <w:u w:val="none"/>
          <w:lang w:eastAsia="zh-CN"/>
        </w:rPr>
        <w:t>卫生院。</w:t>
      </w:r>
      <w:r>
        <w:rPr>
          <w:rFonts w:hint="eastAsia" w:ascii="Times New Roman" w:hAnsi="Times New Roman" w:eastAsia="仿宋_GB2312" w:cs="Times New Roman"/>
          <w:b w:val="0"/>
          <w:bCs w:val="0"/>
          <w:color w:val="auto"/>
          <w:kern w:val="2"/>
          <w:sz w:val="32"/>
          <w:szCs w:val="32"/>
          <w:highlight w:val="none"/>
          <w:u w:val="none"/>
          <w:lang w:val="en-US" w:eastAsia="zh-CN"/>
        </w:rPr>
        <w:t>主要职责：负责基本医疗、保健和优生优育技术服务等工作；负责疾病预防控制工作，执行儿童计划免疫；执行农村医疗保险政策，做好政策宣传、监督及服务工作。</w:t>
      </w:r>
    </w:p>
    <w:p>
      <w:pPr>
        <w:pStyle w:val="2"/>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第二部分 </w:t>
      </w:r>
      <w:r>
        <w:rPr>
          <w:rFonts w:hint="eastAsia" w:ascii="方正小标宋简体" w:hAnsi="方正小标宋简体" w:eastAsia="方正小标宋简体" w:cs="方正小标宋简体"/>
          <w:sz w:val="44"/>
          <w:szCs w:val="44"/>
          <w:lang w:eastAsia="zh-CN"/>
        </w:rPr>
        <w:t>察隅县下察隅镇人民政府</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年度部门决算明细表（详见附表）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仿宋_GB2312" w:eastAsia="黑体" w:cs="仿宋_GB2312"/>
          <w:sz w:val="32"/>
          <w:szCs w:val="32"/>
        </w:rPr>
      </w:pPr>
    </w:p>
    <w:p>
      <w:pPr>
        <w:pStyle w:val="12"/>
        <w:keepNext w:val="0"/>
        <w:keepLines w:val="0"/>
        <w:pageBreakBefore w:val="0"/>
        <w:widowControl w:val="0"/>
        <w:kinsoku/>
        <w:wordWrap/>
        <w:overflowPunct/>
        <w:topLinePunct w:val="0"/>
        <w:autoSpaceDE/>
        <w:autoSpaceDN/>
        <w:bidi w:val="0"/>
        <w:adjustRightInd/>
        <w:snapToGrid/>
        <w:spacing w:line="560" w:lineRule="exact"/>
        <w:ind w:left="2200" w:hanging="2200" w:hangingChars="500"/>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第三部分 </w:t>
      </w:r>
      <w:r>
        <w:rPr>
          <w:rFonts w:hint="eastAsia" w:ascii="方正小标宋简体" w:hAnsi="方正小标宋简体" w:eastAsia="方正小标宋简体" w:cs="方正小标宋简体"/>
          <w:sz w:val="44"/>
          <w:szCs w:val="44"/>
          <w:lang w:eastAsia="zh-CN"/>
        </w:rPr>
        <w:t>察隅县下察隅镇人民政府</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年度部门决算</w:t>
      </w:r>
      <w:r>
        <w:rPr>
          <w:rFonts w:hint="eastAsia" w:ascii="方正小标宋简体" w:hAnsi="方正小标宋简体" w:eastAsia="方正小标宋简体" w:cs="方正小标宋简体"/>
          <w:sz w:val="44"/>
          <w:szCs w:val="44"/>
          <w:lang w:eastAsia="zh-CN"/>
        </w:rPr>
        <w:t>情况</w:t>
      </w:r>
      <w:r>
        <w:rPr>
          <w:rFonts w:hint="eastAsia" w:ascii="方正小标宋简体" w:hAnsi="方正小标宋简体" w:eastAsia="方正小标宋简体" w:cs="方正小标宋简体"/>
          <w:sz w:val="44"/>
          <w:szCs w:val="44"/>
        </w:rPr>
        <w:t>说明</w:t>
      </w:r>
    </w:p>
    <w:p>
      <w:pPr>
        <w:keepNext w:val="0"/>
        <w:keepLines w:val="0"/>
        <w:pageBreakBefore w:val="0"/>
        <w:kinsoku/>
        <w:wordWrap/>
        <w:overflowPunct/>
        <w:topLinePunct w:val="0"/>
        <w:autoSpaceDE/>
        <w:autoSpaceDN/>
        <w:bidi w:val="0"/>
        <w:spacing w:line="560" w:lineRule="exact"/>
        <w:ind w:firstLine="482" w:firstLineChars="150"/>
        <w:jc w:val="left"/>
        <w:textAlignment w:val="auto"/>
        <w:rPr>
          <w:rFonts w:hint="eastAsia" w:ascii="仿宋_GB2312" w:eastAsia="仿宋_GB2312"/>
          <w:b/>
          <w:sz w:val="32"/>
          <w:szCs w:val="32"/>
        </w:rPr>
      </w:pPr>
    </w:p>
    <w:p>
      <w:pPr>
        <w:keepNext w:val="0"/>
        <w:keepLines w:val="0"/>
        <w:pageBreakBefore w:val="0"/>
        <w:kinsoku/>
        <w:wordWrap/>
        <w:overflowPunct/>
        <w:topLinePunct w:val="0"/>
        <w:autoSpaceDE/>
        <w:autoSpaceDN/>
        <w:bidi w:val="0"/>
        <w:spacing w:line="560" w:lineRule="exact"/>
        <w:ind w:firstLine="482" w:firstLineChars="150"/>
        <w:jc w:val="left"/>
        <w:textAlignment w:val="auto"/>
        <w:rPr>
          <w:rFonts w:ascii="仿宋_GB2312" w:eastAsia="仿宋_GB2312"/>
          <w:b/>
          <w:sz w:val="32"/>
          <w:szCs w:val="32"/>
        </w:rPr>
      </w:pPr>
      <w:r>
        <w:rPr>
          <w:rFonts w:hint="eastAsia" w:ascii="仿宋_GB2312" w:eastAsia="仿宋_GB2312"/>
          <w:b/>
          <w:sz w:val="32"/>
          <w:szCs w:val="32"/>
        </w:rPr>
        <w:t>一、收入支出</w:t>
      </w:r>
      <w:r>
        <w:rPr>
          <w:rFonts w:hint="eastAsia" w:ascii="仿宋_GB2312" w:eastAsia="仿宋_GB2312"/>
          <w:b/>
          <w:sz w:val="32"/>
          <w:szCs w:val="32"/>
          <w:lang w:eastAsia="zh-CN"/>
        </w:rPr>
        <w:t>决算</w:t>
      </w:r>
      <w:r>
        <w:rPr>
          <w:rFonts w:hint="eastAsia" w:ascii="仿宋_GB2312" w:eastAsia="仿宋_GB2312"/>
          <w:b/>
          <w:sz w:val="32"/>
          <w:szCs w:val="32"/>
        </w:rPr>
        <w:t>总体情况说明</w:t>
      </w:r>
    </w:p>
    <w:p>
      <w:pPr>
        <w:keepNext w:val="0"/>
        <w:keepLines w:val="0"/>
        <w:pageBreakBefore w:val="0"/>
        <w:kinsoku/>
        <w:wordWrap/>
        <w:overflowPunct/>
        <w:topLinePunct w:val="0"/>
        <w:autoSpaceDE/>
        <w:autoSpaceDN/>
        <w:bidi w:val="0"/>
        <w:spacing w:line="560" w:lineRule="exact"/>
        <w:jc w:val="both"/>
        <w:textAlignment w:val="auto"/>
        <w:rPr>
          <w:rFonts w:ascii="宋体" w:hAnsi="宋体" w:eastAsia="宋体" w:cs="Arial"/>
          <w:color w:val="000000"/>
          <w:kern w:val="0"/>
          <w:sz w:val="22"/>
          <w:highlight w:val="yellow"/>
        </w:rPr>
      </w:pPr>
      <w:r>
        <w:rPr>
          <w:rFonts w:hint="eastAsia" w:ascii="仿宋_GB2312" w:eastAsia="仿宋_GB2312"/>
          <w:sz w:val="32"/>
          <w:szCs w:val="32"/>
        </w:rPr>
        <w:t xml:space="preserve">   </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年度</w:t>
      </w:r>
      <w:r>
        <w:rPr>
          <w:rFonts w:hint="eastAsia" w:ascii="仿宋_GB2312" w:eastAsia="仿宋_GB2312"/>
          <w:sz w:val="32"/>
          <w:szCs w:val="32"/>
          <w:highlight w:val="none"/>
          <w:lang w:eastAsia="zh-CN"/>
        </w:rPr>
        <w:t>收支决算总规模为</w:t>
      </w:r>
      <w:r>
        <w:rPr>
          <w:rFonts w:hint="eastAsia" w:ascii="仿宋_GB2312" w:eastAsia="仿宋_GB2312"/>
          <w:sz w:val="32"/>
          <w:szCs w:val="32"/>
          <w:highlight w:val="none"/>
          <w:lang w:val="en-US" w:eastAsia="zh-CN"/>
        </w:rPr>
        <w:t>1,303.24万元，同比降低20.74%，主要原因为专项业务资金支出减少。</w:t>
      </w:r>
    </w:p>
    <w:p>
      <w:pPr>
        <w:keepNext w:val="0"/>
        <w:keepLines w:val="0"/>
        <w:pageBreakBefore w:val="0"/>
        <w:kinsoku/>
        <w:wordWrap/>
        <w:overflowPunct/>
        <w:topLinePunct w:val="0"/>
        <w:autoSpaceDE/>
        <w:autoSpaceDN/>
        <w:bidi w:val="0"/>
        <w:spacing w:line="560" w:lineRule="exact"/>
        <w:ind w:firstLine="482" w:firstLineChars="150"/>
        <w:jc w:val="left"/>
        <w:textAlignment w:val="auto"/>
        <w:rPr>
          <w:rFonts w:ascii="仿宋_GB2312" w:eastAsia="仿宋_GB2312"/>
          <w:b/>
          <w:sz w:val="32"/>
          <w:szCs w:val="32"/>
        </w:rPr>
      </w:pPr>
      <w:r>
        <w:rPr>
          <w:rFonts w:hint="eastAsia" w:ascii="仿宋_GB2312" w:eastAsia="仿宋_GB2312"/>
          <w:b/>
          <w:sz w:val="32"/>
          <w:szCs w:val="32"/>
        </w:rPr>
        <w:t>二、收入</w:t>
      </w:r>
      <w:r>
        <w:rPr>
          <w:rFonts w:hint="eastAsia" w:ascii="仿宋_GB2312" w:eastAsia="仿宋_GB2312"/>
          <w:b/>
          <w:sz w:val="32"/>
          <w:szCs w:val="32"/>
          <w:lang w:eastAsia="zh-CN"/>
        </w:rPr>
        <w:t>决算</w:t>
      </w:r>
      <w:r>
        <w:rPr>
          <w:rFonts w:hint="eastAsia" w:ascii="仿宋_GB2312" w:eastAsia="仿宋_GB2312"/>
          <w:b/>
          <w:sz w:val="32"/>
          <w:szCs w:val="32"/>
        </w:rPr>
        <w:t>情况说明</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年度</w:t>
      </w:r>
      <w:r>
        <w:rPr>
          <w:rFonts w:hint="eastAsia" w:ascii="仿宋_GB2312" w:eastAsia="仿宋_GB2312"/>
          <w:sz w:val="32"/>
          <w:szCs w:val="32"/>
          <w:lang w:eastAsia="zh-CN"/>
        </w:rPr>
        <w:t>总</w:t>
      </w:r>
      <w:r>
        <w:rPr>
          <w:rFonts w:hint="eastAsia" w:ascii="仿宋_GB2312" w:eastAsia="仿宋_GB2312"/>
          <w:sz w:val="32"/>
          <w:szCs w:val="32"/>
        </w:rPr>
        <w:t>收入</w:t>
      </w:r>
      <w:r>
        <w:rPr>
          <w:rFonts w:hint="eastAsia" w:ascii="仿宋_GB2312" w:eastAsia="仿宋_GB2312"/>
          <w:sz w:val="32"/>
          <w:szCs w:val="32"/>
          <w:highlight w:val="none"/>
          <w:lang w:eastAsia="zh-CN"/>
        </w:rPr>
        <w:t>决算</w:t>
      </w:r>
      <w:r>
        <w:rPr>
          <w:rFonts w:hint="eastAsia" w:ascii="仿宋_GB2312" w:eastAsia="仿宋_GB2312"/>
          <w:sz w:val="32"/>
          <w:szCs w:val="32"/>
          <w:lang w:eastAsia="zh-CN"/>
        </w:rPr>
        <w:t>为</w:t>
      </w:r>
      <w:r>
        <w:rPr>
          <w:rFonts w:hint="eastAsia" w:ascii="仿宋_GB2312" w:eastAsia="仿宋_GB2312"/>
          <w:sz w:val="32"/>
          <w:szCs w:val="32"/>
          <w:highlight w:val="none"/>
          <w:lang w:val="en-US" w:eastAsia="zh-CN"/>
        </w:rPr>
        <w:t>1,303.24万元，主要包括财政拨款收入1,029.42万元，占总收入78.99%；其他收入84.91万元，占总收入6.52%。总收入比上年减少270.23万元，同比降低20.74%</w:t>
      </w:r>
      <w:r>
        <w:rPr>
          <w:rFonts w:hint="eastAsia" w:ascii="仿宋_GB2312" w:eastAsia="仿宋_GB2312"/>
          <w:sz w:val="32"/>
          <w:szCs w:val="32"/>
        </w:rPr>
        <w:t>，</w:t>
      </w:r>
      <w:r>
        <w:rPr>
          <w:rFonts w:hint="eastAsia" w:ascii="仿宋_GB2312" w:eastAsia="仿宋_GB2312"/>
          <w:sz w:val="32"/>
          <w:szCs w:val="32"/>
          <w:highlight w:val="none"/>
          <w:lang w:val="en-US" w:eastAsia="zh-CN"/>
        </w:rPr>
        <w:t>主要原因专项业务资金收入减少</w:t>
      </w:r>
      <w:r>
        <w:rPr>
          <w:rFonts w:hint="eastAsia" w:ascii="仿宋_GB2312" w:eastAsia="仿宋_GB2312"/>
          <w:sz w:val="32"/>
          <w:szCs w:val="32"/>
          <w:u w:val="none"/>
          <w:lang w:eastAsia="zh-CN"/>
        </w:rPr>
        <w:t>。</w:t>
      </w:r>
    </w:p>
    <w:p>
      <w:pPr>
        <w:keepNext w:val="0"/>
        <w:keepLines w:val="0"/>
        <w:pageBreakBefore w:val="0"/>
        <w:kinsoku/>
        <w:wordWrap/>
        <w:overflowPunct/>
        <w:topLinePunct w:val="0"/>
        <w:autoSpaceDE/>
        <w:autoSpaceDN/>
        <w:bidi w:val="0"/>
        <w:spacing w:line="560" w:lineRule="exact"/>
        <w:ind w:firstLine="482" w:firstLineChars="150"/>
        <w:jc w:val="both"/>
        <w:textAlignment w:val="auto"/>
        <w:rPr>
          <w:rFonts w:ascii="仿宋_GB2312" w:eastAsia="仿宋_GB2312"/>
          <w:b/>
          <w:sz w:val="32"/>
          <w:szCs w:val="32"/>
        </w:rPr>
      </w:pPr>
      <w:r>
        <w:rPr>
          <w:rFonts w:hint="eastAsia" w:ascii="仿宋_GB2312" w:eastAsia="仿宋_GB2312"/>
          <w:b/>
          <w:sz w:val="32"/>
          <w:szCs w:val="32"/>
        </w:rPr>
        <w:t>三、支出</w:t>
      </w:r>
      <w:r>
        <w:rPr>
          <w:rFonts w:hint="eastAsia" w:ascii="仿宋_GB2312" w:eastAsia="仿宋_GB2312"/>
          <w:b/>
          <w:sz w:val="32"/>
          <w:szCs w:val="32"/>
          <w:lang w:eastAsia="zh-CN"/>
        </w:rPr>
        <w:t>决算</w:t>
      </w:r>
      <w:r>
        <w:rPr>
          <w:rFonts w:hint="eastAsia" w:ascii="仿宋_GB2312" w:eastAsia="仿宋_GB2312"/>
          <w:b/>
          <w:sz w:val="32"/>
          <w:szCs w:val="32"/>
        </w:rPr>
        <w:t>情况说明</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年度</w:t>
      </w:r>
      <w:r>
        <w:rPr>
          <w:rFonts w:hint="eastAsia" w:ascii="仿宋_GB2312" w:eastAsia="仿宋_GB2312"/>
          <w:sz w:val="32"/>
          <w:szCs w:val="32"/>
          <w:lang w:eastAsia="zh-CN"/>
        </w:rPr>
        <w:t>总支出</w:t>
      </w:r>
      <w:r>
        <w:rPr>
          <w:rFonts w:hint="eastAsia" w:ascii="仿宋_GB2312" w:eastAsia="仿宋_GB2312"/>
          <w:sz w:val="32"/>
          <w:szCs w:val="32"/>
          <w:highlight w:val="none"/>
          <w:lang w:eastAsia="zh-CN"/>
        </w:rPr>
        <w:t>决算</w:t>
      </w:r>
      <w:r>
        <w:rPr>
          <w:rFonts w:hint="eastAsia" w:ascii="仿宋_GB2312" w:eastAsia="仿宋_GB2312"/>
          <w:sz w:val="32"/>
          <w:szCs w:val="32"/>
          <w:lang w:val="en-US" w:eastAsia="zh-CN"/>
        </w:rPr>
        <w:t>1,303.24</w:t>
      </w:r>
      <w:r>
        <w:rPr>
          <w:rFonts w:hint="eastAsia" w:ascii="仿宋_GB2312" w:eastAsia="仿宋_GB2312"/>
          <w:sz w:val="32"/>
          <w:szCs w:val="32"/>
          <w:highlight w:val="none"/>
          <w:lang w:val="en-US" w:eastAsia="zh-CN"/>
        </w:rPr>
        <w:t>万元，主要包括基本支出852.87万元，占总支出65.44%；项目支出450.37万元，占总支出34.56%。总支出比上年减少270.23万元，同比降低20.74%</w:t>
      </w:r>
      <w:r>
        <w:rPr>
          <w:rFonts w:hint="eastAsia" w:ascii="仿宋_GB2312" w:eastAsia="仿宋_GB2312"/>
          <w:sz w:val="32"/>
          <w:szCs w:val="32"/>
        </w:rPr>
        <w:t>，</w:t>
      </w:r>
      <w:r>
        <w:rPr>
          <w:rFonts w:hint="eastAsia" w:ascii="仿宋_GB2312" w:eastAsia="仿宋_GB2312"/>
          <w:sz w:val="32"/>
          <w:szCs w:val="32"/>
          <w:highlight w:val="none"/>
          <w:lang w:val="en-US" w:eastAsia="zh-CN"/>
        </w:rPr>
        <w:t>主要原因为专项业务资金支出减少。</w:t>
      </w:r>
    </w:p>
    <w:p>
      <w:pPr>
        <w:keepNext w:val="0"/>
        <w:keepLines w:val="0"/>
        <w:pageBreakBefore w:val="0"/>
        <w:kinsoku/>
        <w:wordWrap/>
        <w:overflowPunct/>
        <w:topLinePunct w:val="0"/>
        <w:autoSpaceDE/>
        <w:autoSpaceDN/>
        <w:bidi w:val="0"/>
        <w:spacing w:line="560" w:lineRule="exact"/>
        <w:ind w:firstLine="482" w:firstLineChars="150"/>
        <w:jc w:val="left"/>
        <w:textAlignment w:val="auto"/>
        <w:rPr>
          <w:rFonts w:ascii="仿宋_GB2312" w:eastAsia="仿宋_GB2312"/>
          <w:b/>
          <w:sz w:val="32"/>
          <w:szCs w:val="32"/>
          <w:highlight w:val="none"/>
        </w:rPr>
      </w:pPr>
      <w:r>
        <w:rPr>
          <w:rFonts w:hint="eastAsia" w:ascii="仿宋_GB2312" w:eastAsia="仿宋_GB2312"/>
          <w:b/>
          <w:sz w:val="32"/>
          <w:szCs w:val="32"/>
          <w:highlight w:val="none"/>
        </w:rPr>
        <w:t>四、一般公共预算财政拨款收入支出</w:t>
      </w:r>
      <w:r>
        <w:rPr>
          <w:rFonts w:hint="eastAsia" w:ascii="仿宋_GB2312" w:eastAsia="仿宋_GB2312"/>
          <w:b/>
          <w:sz w:val="32"/>
          <w:szCs w:val="32"/>
          <w:highlight w:val="none"/>
          <w:lang w:eastAsia="zh-CN"/>
        </w:rPr>
        <w:t>决算</w:t>
      </w:r>
      <w:r>
        <w:rPr>
          <w:rFonts w:hint="eastAsia" w:ascii="仿宋_GB2312" w:eastAsia="仿宋_GB2312"/>
          <w:b/>
          <w:sz w:val="32"/>
          <w:szCs w:val="32"/>
          <w:highlight w:val="none"/>
        </w:rPr>
        <w:t>总体情况说明</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u w:val="none"/>
          <w:lang w:eastAsia="zh-CN"/>
        </w:rPr>
      </w:pPr>
      <w:r>
        <w:rPr>
          <w:rFonts w:hint="eastAsia" w:ascii="仿宋_GB2312" w:eastAsia="仿宋_GB2312"/>
          <w:sz w:val="32"/>
          <w:szCs w:val="32"/>
          <w:u w:val="none"/>
        </w:rPr>
        <w:t>202</w:t>
      </w:r>
      <w:r>
        <w:rPr>
          <w:rFonts w:hint="eastAsia" w:ascii="仿宋_GB2312" w:eastAsia="仿宋_GB2312"/>
          <w:sz w:val="32"/>
          <w:szCs w:val="32"/>
          <w:u w:val="none"/>
          <w:lang w:val="en-US" w:eastAsia="zh-CN"/>
        </w:rPr>
        <w:t>1</w:t>
      </w:r>
      <w:r>
        <w:rPr>
          <w:rFonts w:hint="eastAsia" w:ascii="仿宋_GB2312" w:eastAsia="仿宋_GB2312"/>
          <w:sz w:val="32"/>
          <w:szCs w:val="32"/>
          <w:u w:val="none"/>
        </w:rPr>
        <w:t>年度一般公共预算财政拨款</w:t>
      </w:r>
      <w:r>
        <w:rPr>
          <w:rFonts w:hint="eastAsia" w:ascii="仿宋_GB2312" w:eastAsia="仿宋_GB2312"/>
          <w:sz w:val="32"/>
          <w:szCs w:val="32"/>
          <w:u w:val="none"/>
          <w:lang w:eastAsia="zh-CN"/>
        </w:rPr>
        <w:t>总</w:t>
      </w:r>
      <w:r>
        <w:rPr>
          <w:rFonts w:hint="eastAsia" w:ascii="仿宋_GB2312" w:eastAsia="仿宋_GB2312"/>
          <w:sz w:val="32"/>
          <w:szCs w:val="32"/>
          <w:u w:val="none"/>
        </w:rPr>
        <w:t>收入</w:t>
      </w:r>
      <w:r>
        <w:rPr>
          <w:rFonts w:hint="eastAsia" w:ascii="仿宋_GB2312" w:eastAsia="仿宋_GB2312"/>
          <w:sz w:val="32"/>
          <w:szCs w:val="32"/>
          <w:highlight w:val="none"/>
          <w:u w:val="none"/>
          <w:lang w:eastAsia="zh-CN"/>
        </w:rPr>
        <w:t>决算为</w:t>
      </w:r>
      <w:r>
        <w:rPr>
          <w:rFonts w:hint="eastAsia" w:ascii="仿宋_GB2312" w:eastAsia="仿宋_GB2312"/>
          <w:sz w:val="32"/>
          <w:szCs w:val="32"/>
          <w:highlight w:val="none"/>
          <w:u w:val="none"/>
          <w:lang w:val="en-US" w:eastAsia="zh-CN"/>
        </w:rPr>
        <w:t>1,127.48</w:t>
      </w:r>
      <w:r>
        <w:rPr>
          <w:rFonts w:hint="eastAsia" w:ascii="仿宋_GB2312" w:eastAsia="仿宋_GB2312"/>
          <w:sz w:val="32"/>
          <w:szCs w:val="32"/>
          <w:u w:val="none"/>
          <w:lang w:val="en-US" w:eastAsia="zh-CN"/>
        </w:rPr>
        <w:t>万元</w:t>
      </w:r>
      <w:r>
        <w:rPr>
          <w:rFonts w:hint="eastAsia" w:ascii="仿宋_GB2312" w:eastAsia="仿宋_GB2312"/>
          <w:sz w:val="32"/>
          <w:szCs w:val="32"/>
          <w:u w:val="none"/>
        </w:rPr>
        <w:t>，比上年</w:t>
      </w:r>
      <w:r>
        <w:rPr>
          <w:rFonts w:hint="eastAsia" w:ascii="仿宋_GB2312" w:eastAsia="仿宋_GB2312"/>
          <w:sz w:val="32"/>
          <w:szCs w:val="32"/>
          <w:u w:val="none"/>
          <w:lang w:eastAsia="zh-CN"/>
        </w:rPr>
        <w:t>增加</w:t>
      </w:r>
      <w:r>
        <w:rPr>
          <w:rFonts w:hint="eastAsia" w:ascii="仿宋_GB2312" w:eastAsia="仿宋_GB2312"/>
          <w:sz w:val="32"/>
          <w:szCs w:val="32"/>
          <w:u w:val="none"/>
          <w:lang w:val="en-US" w:eastAsia="zh-CN"/>
        </w:rPr>
        <w:t>54.28万元</w:t>
      </w:r>
      <w:r>
        <w:rPr>
          <w:rFonts w:hint="eastAsia" w:ascii="仿宋_GB2312" w:eastAsia="仿宋_GB2312"/>
          <w:sz w:val="32"/>
          <w:szCs w:val="32"/>
          <w:u w:val="none"/>
        </w:rPr>
        <w:t>，</w:t>
      </w:r>
      <w:r>
        <w:rPr>
          <w:rFonts w:hint="eastAsia" w:ascii="仿宋_GB2312" w:eastAsia="仿宋_GB2312"/>
          <w:sz w:val="32"/>
          <w:szCs w:val="32"/>
          <w:u w:val="none"/>
          <w:lang w:eastAsia="zh-CN"/>
        </w:rPr>
        <w:t>同比增长</w:t>
      </w:r>
      <w:r>
        <w:rPr>
          <w:rFonts w:hint="eastAsia" w:ascii="仿宋_GB2312" w:eastAsia="仿宋_GB2312"/>
          <w:sz w:val="32"/>
          <w:szCs w:val="32"/>
          <w:highlight w:val="none"/>
          <w:u w:val="none"/>
          <w:lang w:val="en-US" w:eastAsia="zh-CN"/>
        </w:rPr>
        <w:t>4.81%，</w:t>
      </w:r>
      <w:r>
        <w:rPr>
          <w:rFonts w:hint="eastAsia" w:ascii="仿宋_GB2312" w:eastAsia="仿宋_GB2312"/>
          <w:sz w:val="32"/>
          <w:szCs w:val="32"/>
          <w:highlight w:val="none"/>
          <w:lang w:val="en-US" w:eastAsia="zh-CN"/>
        </w:rPr>
        <w:t>主要原因为专项业务资金收入增加</w:t>
      </w:r>
      <w:r>
        <w:rPr>
          <w:rFonts w:hint="eastAsia" w:ascii="仿宋_GB2312" w:eastAsia="仿宋_GB2312"/>
          <w:sz w:val="32"/>
          <w:szCs w:val="32"/>
          <w:u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eastAsia="仿宋_GB2312"/>
          <w:sz w:val="32"/>
          <w:szCs w:val="32"/>
          <w:u w:val="none"/>
        </w:rPr>
      </w:pPr>
      <w:r>
        <w:rPr>
          <w:rFonts w:hint="eastAsia" w:ascii="仿宋_GB2312" w:eastAsia="仿宋_GB2312"/>
          <w:sz w:val="32"/>
          <w:szCs w:val="32"/>
          <w:u w:val="none"/>
        </w:rPr>
        <w:t>202</w:t>
      </w:r>
      <w:r>
        <w:rPr>
          <w:rFonts w:hint="eastAsia" w:ascii="仿宋_GB2312" w:eastAsia="仿宋_GB2312"/>
          <w:sz w:val="32"/>
          <w:szCs w:val="32"/>
          <w:u w:val="none"/>
          <w:lang w:val="en-US" w:eastAsia="zh-CN"/>
        </w:rPr>
        <w:t>1</w:t>
      </w:r>
      <w:r>
        <w:rPr>
          <w:rFonts w:hint="eastAsia" w:ascii="仿宋_GB2312" w:eastAsia="仿宋_GB2312"/>
          <w:sz w:val="32"/>
          <w:szCs w:val="32"/>
          <w:u w:val="none"/>
        </w:rPr>
        <w:t>年度一般公共预算财政拨款</w:t>
      </w:r>
      <w:r>
        <w:rPr>
          <w:rFonts w:hint="eastAsia" w:ascii="仿宋_GB2312" w:eastAsia="仿宋_GB2312"/>
          <w:sz w:val="32"/>
          <w:szCs w:val="32"/>
          <w:u w:val="none"/>
          <w:lang w:eastAsia="zh-CN"/>
        </w:rPr>
        <w:t>总</w:t>
      </w:r>
      <w:r>
        <w:rPr>
          <w:rFonts w:hint="eastAsia" w:ascii="仿宋_GB2312" w:eastAsia="仿宋_GB2312"/>
          <w:sz w:val="32"/>
          <w:szCs w:val="32"/>
          <w:u w:val="none"/>
        </w:rPr>
        <w:t>支出</w:t>
      </w:r>
      <w:r>
        <w:rPr>
          <w:rFonts w:hint="eastAsia" w:ascii="仿宋_GB2312" w:eastAsia="仿宋_GB2312"/>
          <w:sz w:val="32"/>
          <w:szCs w:val="32"/>
          <w:highlight w:val="none"/>
          <w:u w:val="none"/>
          <w:lang w:eastAsia="zh-CN"/>
        </w:rPr>
        <w:t>决算为</w:t>
      </w:r>
      <w:r>
        <w:rPr>
          <w:rFonts w:hint="eastAsia" w:ascii="仿宋_GB2312" w:eastAsia="仿宋_GB2312"/>
          <w:sz w:val="32"/>
          <w:szCs w:val="32"/>
          <w:highlight w:val="none"/>
          <w:u w:val="none"/>
          <w:lang w:val="en-US" w:eastAsia="zh-CN"/>
        </w:rPr>
        <w:t>1,127.48</w:t>
      </w:r>
      <w:r>
        <w:rPr>
          <w:rFonts w:hint="eastAsia" w:ascii="仿宋_GB2312" w:eastAsia="仿宋_GB2312"/>
          <w:sz w:val="32"/>
          <w:szCs w:val="32"/>
          <w:u w:val="none"/>
          <w:lang w:val="en-US" w:eastAsia="zh-CN"/>
        </w:rPr>
        <w:t>万元</w:t>
      </w:r>
      <w:r>
        <w:rPr>
          <w:rFonts w:hint="eastAsia" w:ascii="仿宋_GB2312" w:eastAsia="仿宋_GB2312"/>
          <w:sz w:val="32"/>
          <w:szCs w:val="32"/>
          <w:u w:val="none"/>
        </w:rPr>
        <w:t>，比上年</w:t>
      </w:r>
      <w:r>
        <w:rPr>
          <w:rFonts w:hint="eastAsia" w:ascii="仿宋_GB2312" w:eastAsia="仿宋_GB2312"/>
          <w:sz w:val="32"/>
          <w:szCs w:val="32"/>
          <w:u w:val="none"/>
          <w:lang w:eastAsia="zh-CN"/>
        </w:rPr>
        <w:t>增加</w:t>
      </w:r>
      <w:r>
        <w:rPr>
          <w:rFonts w:hint="eastAsia" w:ascii="仿宋_GB2312" w:eastAsia="仿宋_GB2312"/>
          <w:sz w:val="32"/>
          <w:szCs w:val="32"/>
          <w:u w:val="none"/>
          <w:lang w:val="en-US" w:eastAsia="zh-CN"/>
        </w:rPr>
        <w:t>54.28万元</w:t>
      </w:r>
      <w:r>
        <w:rPr>
          <w:rFonts w:hint="eastAsia" w:ascii="仿宋_GB2312" w:eastAsia="仿宋_GB2312"/>
          <w:sz w:val="32"/>
          <w:szCs w:val="32"/>
          <w:u w:val="none"/>
        </w:rPr>
        <w:t>，</w:t>
      </w:r>
      <w:r>
        <w:rPr>
          <w:rFonts w:hint="eastAsia" w:ascii="仿宋_GB2312" w:eastAsia="仿宋_GB2312"/>
          <w:sz w:val="32"/>
          <w:szCs w:val="32"/>
          <w:u w:val="none"/>
          <w:lang w:eastAsia="zh-CN"/>
        </w:rPr>
        <w:t>同比增长</w:t>
      </w:r>
      <w:r>
        <w:rPr>
          <w:rFonts w:hint="eastAsia" w:ascii="仿宋_GB2312" w:eastAsia="仿宋_GB2312"/>
          <w:sz w:val="32"/>
          <w:szCs w:val="32"/>
          <w:highlight w:val="none"/>
          <w:u w:val="none"/>
          <w:lang w:val="en-US" w:eastAsia="zh-CN"/>
        </w:rPr>
        <w:t>4.81%</w:t>
      </w:r>
      <w:r>
        <w:rPr>
          <w:rFonts w:hint="eastAsia" w:ascii="仿宋_GB2312" w:eastAsia="仿宋_GB2312"/>
          <w:sz w:val="32"/>
          <w:szCs w:val="32"/>
          <w:u w:val="none"/>
        </w:rPr>
        <w:t>，</w:t>
      </w:r>
      <w:r>
        <w:rPr>
          <w:rFonts w:hint="eastAsia" w:ascii="仿宋_GB2312" w:eastAsia="仿宋_GB2312"/>
          <w:sz w:val="32"/>
          <w:szCs w:val="32"/>
          <w:highlight w:val="none"/>
          <w:lang w:val="en-US" w:eastAsia="zh-CN"/>
        </w:rPr>
        <w:t>主要原因为专项业务资金支出增加。</w:t>
      </w:r>
    </w:p>
    <w:p>
      <w:pPr>
        <w:keepNext w:val="0"/>
        <w:keepLines w:val="0"/>
        <w:pageBreakBefore w:val="0"/>
        <w:kinsoku/>
        <w:wordWrap/>
        <w:overflowPunct/>
        <w:topLinePunct w:val="0"/>
        <w:autoSpaceDE/>
        <w:autoSpaceDN/>
        <w:bidi w:val="0"/>
        <w:spacing w:line="560" w:lineRule="exact"/>
        <w:ind w:firstLine="482" w:firstLineChars="150"/>
        <w:jc w:val="left"/>
        <w:textAlignment w:val="auto"/>
        <w:rPr>
          <w:rFonts w:ascii="仿宋_GB2312" w:eastAsia="仿宋_GB2312"/>
          <w:b/>
          <w:sz w:val="32"/>
          <w:szCs w:val="32"/>
          <w:highlight w:val="none"/>
        </w:rPr>
      </w:pPr>
      <w:r>
        <w:rPr>
          <w:rFonts w:hint="eastAsia" w:ascii="仿宋_GB2312" w:eastAsia="仿宋_GB2312"/>
          <w:b/>
          <w:sz w:val="32"/>
          <w:szCs w:val="32"/>
          <w:highlight w:val="none"/>
        </w:rPr>
        <w:t>五、一般公共预算财政拨款支出</w:t>
      </w:r>
      <w:r>
        <w:rPr>
          <w:rFonts w:hint="eastAsia" w:ascii="仿宋_GB2312" w:eastAsia="仿宋_GB2312"/>
          <w:b/>
          <w:sz w:val="32"/>
          <w:szCs w:val="32"/>
          <w:highlight w:val="none"/>
          <w:lang w:eastAsia="zh-CN"/>
        </w:rPr>
        <w:t>决算</w:t>
      </w:r>
      <w:r>
        <w:rPr>
          <w:rFonts w:hint="eastAsia" w:ascii="仿宋_GB2312" w:eastAsia="仿宋_GB2312"/>
          <w:b/>
          <w:sz w:val="32"/>
          <w:szCs w:val="32"/>
          <w:highlight w:val="none"/>
        </w:rPr>
        <w:t>情况说明</w:t>
      </w:r>
    </w:p>
    <w:p>
      <w:pPr>
        <w:keepNext w:val="0"/>
        <w:keepLines w:val="0"/>
        <w:pageBreakBefore w:val="0"/>
        <w:kinsoku/>
        <w:wordWrap/>
        <w:overflowPunct/>
        <w:topLinePunct w:val="0"/>
        <w:autoSpaceDE/>
        <w:autoSpaceDN/>
        <w:bidi w:val="0"/>
        <w:spacing w:line="560" w:lineRule="exact"/>
        <w:ind w:firstLine="480" w:firstLineChars="150"/>
        <w:jc w:val="both"/>
        <w:textAlignment w:val="auto"/>
        <w:rPr>
          <w:rFonts w:hint="default" w:ascii="仿宋_GB2312" w:eastAsia="仿宋_GB2312"/>
          <w:sz w:val="32"/>
          <w:szCs w:val="32"/>
          <w:highlight w:val="none"/>
          <w:lang w:val="en-US" w:eastAsia="zh-CN"/>
        </w:rPr>
      </w:pPr>
      <w:r>
        <w:rPr>
          <w:rFonts w:hint="eastAsia" w:ascii="仿宋_GB2312" w:eastAsia="仿宋_GB2312"/>
          <w:kern w:val="0"/>
          <w:sz w:val="32"/>
          <w:szCs w:val="32"/>
        </w:rPr>
        <w:t>202</w:t>
      </w:r>
      <w:r>
        <w:rPr>
          <w:rFonts w:hint="eastAsia" w:ascii="仿宋_GB2312" w:eastAsia="仿宋_GB2312"/>
          <w:kern w:val="0"/>
          <w:sz w:val="32"/>
          <w:szCs w:val="32"/>
          <w:lang w:val="en-US" w:eastAsia="zh-CN"/>
        </w:rPr>
        <w:t>1</w:t>
      </w:r>
      <w:r>
        <w:rPr>
          <w:rFonts w:hint="eastAsia" w:ascii="仿宋_GB2312" w:eastAsia="仿宋_GB2312"/>
          <w:kern w:val="0"/>
          <w:sz w:val="32"/>
          <w:szCs w:val="32"/>
        </w:rPr>
        <w:t>年度一般公共预算财政拨款支出</w:t>
      </w:r>
      <w:r>
        <w:rPr>
          <w:rFonts w:hint="eastAsia" w:ascii="仿宋_GB2312" w:eastAsia="仿宋_GB2312"/>
          <w:sz w:val="32"/>
          <w:szCs w:val="32"/>
          <w:highlight w:val="none"/>
          <w:lang w:eastAsia="zh-CN"/>
        </w:rPr>
        <w:t>决算为</w:t>
      </w:r>
      <w:r>
        <w:rPr>
          <w:rFonts w:hint="eastAsia" w:ascii="仿宋_GB2312" w:eastAsia="仿宋_GB2312"/>
          <w:sz w:val="32"/>
          <w:szCs w:val="32"/>
          <w:highlight w:val="none"/>
          <w:u w:val="none"/>
          <w:lang w:val="en-US" w:eastAsia="zh-CN"/>
        </w:rPr>
        <w:t>1,127.48</w:t>
      </w:r>
      <w:r>
        <w:rPr>
          <w:rFonts w:hint="eastAsia" w:ascii="仿宋_GB2312" w:eastAsia="仿宋_GB2312"/>
          <w:sz w:val="32"/>
          <w:szCs w:val="32"/>
          <w:highlight w:val="none"/>
          <w:lang w:val="en-US" w:eastAsia="zh-CN"/>
        </w:rPr>
        <w:t>万元，比年初预算减少107.04万元,降低9.49%，主要原因为用于工资福利方面的支出减少。比上年决算减少54.28万元，同比降低4.81%，主要原因为用于工资福利方面的支出减少。其中：基本支出852.87万元，占总支出75.64%；项目支出274.61万元，占总支出24.36%。</w:t>
      </w:r>
    </w:p>
    <w:p>
      <w:pPr>
        <w:keepNext w:val="0"/>
        <w:keepLines w:val="0"/>
        <w:pageBreakBefore w:val="0"/>
        <w:kinsoku/>
        <w:wordWrap/>
        <w:overflowPunct/>
        <w:topLinePunct w:val="0"/>
        <w:autoSpaceDE/>
        <w:autoSpaceDN/>
        <w:bidi w:val="0"/>
        <w:spacing w:line="560" w:lineRule="exact"/>
        <w:ind w:firstLine="482" w:firstLineChars="150"/>
        <w:jc w:val="left"/>
        <w:textAlignment w:val="auto"/>
        <w:rPr>
          <w:rFonts w:ascii="仿宋_GB2312" w:eastAsia="仿宋_GB2312"/>
          <w:b/>
          <w:sz w:val="32"/>
          <w:szCs w:val="32"/>
          <w:highlight w:val="none"/>
        </w:rPr>
      </w:pPr>
      <w:r>
        <w:rPr>
          <w:rFonts w:hint="eastAsia" w:ascii="仿宋_GB2312" w:eastAsia="仿宋_GB2312"/>
          <w:b/>
          <w:sz w:val="32"/>
          <w:szCs w:val="32"/>
          <w:highlight w:val="none"/>
        </w:rPr>
        <w:t>六、一般公共预算财政拨款基本支出</w:t>
      </w:r>
      <w:r>
        <w:rPr>
          <w:rFonts w:hint="eastAsia" w:ascii="仿宋_GB2312" w:eastAsia="仿宋_GB2312"/>
          <w:b/>
          <w:sz w:val="32"/>
          <w:szCs w:val="32"/>
          <w:highlight w:val="none"/>
          <w:lang w:eastAsia="zh-CN"/>
        </w:rPr>
        <w:t>决算</w:t>
      </w:r>
      <w:r>
        <w:rPr>
          <w:rFonts w:hint="eastAsia" w:ascii="仿宋_GB2312" w:eastAsia="仿宋_GB2312"/>
          <w:b/>
          <w:sz w:val="32"/>
          <w:szCs w:val="32"/>
          <w:highlight w:val="none"/>
        </w:rPr>
        <w:t>情况说明</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年度一般公共预算财政拨款基本支出</w:t>
      </w:r>
      <w:r>
        <w:rPr>
          <w:rFonts w:hint="eastAsia" w:ascii="仿宋_GB2312" w:eastAsia="仿宋_GB2312"/>
          <w:sz w:val="32"/>
          <w:szCs w:val="32"/>
          <w:lang w:eastAsia="zh-CN"/>
        </w:rPr>
        <w:t>决算为</w:t>
      </w:r>
      <w:r>
        <w:rPr>
          <w:rFonts w:hint="eastAsia" w:ascii="仿宋_GB2312" w:eastAsia="仿宋_GB2312"/>
          <w:sz w:val="32"/>
          <w:szCs w:val="32"/>
          <w:lang w:val="en-US" w:eastAsia="zh-CN"/>
        </w:rPr>
        <w:t>852.87万</w:t>
      </w:r>
      <w:r>
        <w:rPr>
          <w:rFonts w:hint="eastAsia" w:ascii="仿宋_GB2312" w:eastAsia="仿宋_GB2312"/>
          <w:sz w:val="32"/>
          <w:szCs w:val="32"/>
        </w:rPr>
        <w:t>元，</w:t>
      </w:r>
      <w:r>
        <w:rPr>
          <w:rFonts w:hint="eastAsia" w:ascii="仿宋_GB2312" w:eastAsia="仿宋_GB2312"/>
          <w:sz w:val="32"/>
          <w:szCs w:val="32"/>
          <w:highlight w:val="none"/>
          <w:lang w:val="en-US" w:eastAsia="zh-CN"/>
        </w:rPr>
        <w:t>比年初预算减少341.85万元,降低40.08%，主要原因为公用经费支出减少。</w:t>
      </w:r>
      <w:r>
        <w:rPr>
          <w:rFonts w:hint="eastAsia" w:ascii="仿宋_GB2312" w:eastAsia="仿宋_GB2312"/>
          <w:sz w:val="32"/>
          <w:szCs w:val="32"/>
          <w:lang w:eastAsia="zh-CN"/>
        </w:rPr>
        <w:t>比上年决算减少</w:t>
      </w:r>
      <w:r>
        <w:rPr>
          <w:rFonts w:hint="eastAsia" w:ascii="仿宋_GB2312" w:eastAsia="仿宋_GB2312"/>
          <w:sz w:val="32"/>
          <w:szCs w:val="32"/>
          <w:lang w:val="en-US" w:eastAsia="zh-CN"/>
        </w:rPr>
        <w:t>7.66万元，同比降低0.9%</w:t>
      </w:r>
      <w:r>
        <w:rPr>
          <w:rFonts w:hint="eastAsia" w:ascii="仿宋_GB2312" w:eastAsia="仿宋_GB2312"/>
          <w:sz w:val="32"/>
          <w:szCs w:val="32"/>
        </w:rPr>
        <w:t>。</w:t>
      </w:r>
      <w:r>
        <w:rPr>
          <w:rFonts w:hint="eastAsia" w:ascii="仿宋_GB2312" w:eastAsia="仿宋_GB2312"/>
          <w:sz w:val="32"/>
          <w:szCs w:val="32"/>
          <w:lang w:eastAsia="zh-CN"/>
        </w:rPr>
        <w:t>主要原因为上年同今年决算填报口径不同，今年公用经费减少。</w:t>
      </w:r>
      <w:r>
        <w:rPr>
          <w:rFonts w:hint="eastAsia" w:ascii="仿宋_GB2312" w:eastAsia="仿宋_GB2312"/>
          <w:sz w:val="32"/>
          <w:szCs w:val="32"/>
        </w:rPr>
        <w:t>其中：</w:t>
      </w:r>
      <w:r>
        <w:rPr>
          <w:rFonts w:hint="eastAsia" w:ascii="仿宋_GB2312" w:eastAsia="仿宋_GB2312"/>
          <w:b/>
          <w:sz w:val="32"/>
          <w:szCs w:val="32"/>
        </w:rPr>
        <w:t>人员经费</w:t>
      </w:r>
      <w:r>
        <w:rPr>
          <w:rFonts w:hint="eastAsia" w:ascii="仿宋_GB2312" w:eastAsia="仿宋_GB2312"/>
          <w:b/>
          <w:bCs/>
          <w:sz w:val="32"/>
          <w:szCs w:val="32"/>
        </w:rPr>
        <w:t>支出</w:t>
      </w:r>
      <w:r>
        <w:rPr>
          <w:rFonts w:hint="eastAsia" w:ascii="仿宋_GB2312" w:eastAsia="仿宋_GB2312"/>
          <w:sz w:val="32"/>
          <w:szCs w:val="32"/>
          <w:lang w:eastAsia="zh-CN"/>
        </w:rPr>
        <w:t>合计</w:t>
      </w:r>
      <w:r>
        <w:rPr>
          <w:rFonts w:hint="eastAsia" w:ascii="仿宋_GB2312" w:eastAsia="仿宋_GB2312"/>
          <w:sz w:val="32"/>
          <w:szCs w:val="32"/>
          <w:lang w:val="en-US" w:eastAsia="zh-CN"/>
        </w:rPr>
        <w:t>733.76万元</w:t>
      </w:r>
      <w:r>
        <w:rPr>
          <w:rFonts w:hint="eastAsia" w:ascii="仿宋_GB2312" w:eastAsia="仿宋_GB2312"/>
          <w:sz w:val="32"/>
          <w:szCs w:val="32"/>
        </w:rPr>
        <w:t>，占总支出的</w:t>
      </w:r>
      <w:r>
        <w:rPr>
          <w:rFonts w:hint="eastAsia" w:ascii="仿宋_GB2312" w:eastAsia="仿宋_GB2312"/>
          <w:sz w:val="32"/>
          <w:szCs w:val="32"/>
          <w:lang w:val="en-US" w:eastAsia="zh-CN"/>
        </w:rPr>
        <w:t>86.03</w:t>
      </w:r>
      <w:r>
        <w:rPr>
          <w:rFonts w:hint="eastAsia" w:ascii="仿宋_GB2312" w:eastAsia="仿宋_GB2312"/>
          <w:sz w:val="32"/>
          <w:szCs w:val="32"/>
        </w:rPr>
        <w:t>%，主要包括</w:t>
      </w:r>
      <w:r>
        <w:rPr>
          <w:rFonts w:hint="eastAsia" w:ascii="仿宋_GB2312" w:eastAsia="仿宋_GB2312"/>
          <w:sz w:val="32"/>
          <w:szCs w:val="32"/>
          <w:lang w:eastAsia="zh-CN"/>
        </w:rPr>
        <w:t>工资福利支出支出和对个人和家庭的补助支出</w:t>
      </w:r>
      <w:r>
        <w:rPr>
          <w:rFonts w:hint="eastAsia" w:ascii="仿宋_GB2312" w:eastAsia="仿宋_GB2312"/>
          <w:sz w:val="32"/>
          <w:szCs w:val="32"/>
        </w:rPr>
        <w:t>。</w:t>
      </w:r>
      <w:r>
        <w:rPr>
          <w:rFonts w:hint="eastAsia" w:ascii="仿宋_GB2312" w:eastAsia="仿宋_GB2312"/>
          <w:b/>
          <w:sz w:val="32"/>
          <w:szCs w:val="32"/>
        </w:rPr>
        <w:t>公用经</w:t>
      </w:r>
      <w:r>
        <w:rPr>
          <w:rFonts w:hint="eastAsia" w:ascii="仿宋_GB2312" w:eastAsia="仿宋_GB2312"/>
          <w:b/>
          <w:bCs w:val="0"/>
          <w:sz w:val="32"/>
          <w:szCs w:val="32"/>
        </w:rPr>
        <w:t>费支出</w:t>
      </w:r>
      <w:r>
        <w:rPr>
          <w:rFonts w:hint="eastAsia" w:ascii="仿宋_GB2312" w:eastAsia="仿宋_GB2312"/>
          <w:sz w:val="32"/>
          <w:szCs w:val="32"/>
          <w:lang w:eastAsia="zh-CN"/>
        </w:rPr>
        <w:t>合计</w:t>
      </w:r>
      <w:r>
        <w:rPr>
          <w:rFonts w:hint="eastAsia" w:ascii="仿宋_GB2312" w:eastAsia="仿宋_GB2312"/>
          <w:sz w:val="32"/>
          <w:szCs w:val="32"/>
          <w:lang w:val="en-US" w:eastAsia="zh-CN"/>
        </w:rPr>
        <w:t>119.11万</w:t>
      </w:r>
      <w:r>
        <w:rPr>
          <w:rFonts w:hint="eastAsia" w:ascii="仿宋_GB2312" w:eastAsia="仿宋_GB2312"/>
          <w:sz w:val="32"/>
          <w:szCs w:val="32"/>
        </w:rPr>
        <w:t>元，占总支出</w:t>
      </w:r>
      <w:r>
        <w:rPr>
          <w:rFonts w:hint="eastAsia" w:ascii="仿宋_GB2312" w:eastAsia="仿宋_GB2312"/>
          <w:sz w:val="32"/>
          <w:szCs w:val="32"/>
          <w:lang w:val="en-US" w:eastAsia="zh-CN"/>
        </w:rPr>
        <w:t>13.97</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主要包括</w:t>
      </w:r>
      <w:r>
        <w:rPr>
          <w:rFonts w:hint="eastAsia" w:ascii="仿宋_GB2312" w:eastAsia="仿宋_GB2312"/>
          <w:sz w:val="32"/>
          <w:szCs w:val="32"/>
          <w:lang w:eastAsia="zh-CN"/>
        </w:rPr>
        <w:t>商品和服务支出</w:t>
      </w:r>
      <w:r>
        <w:rPr>
          <w:rFonts w:hint="eastAsia" w:ascii="仿宋_GB2312" w:eastAsia="仿宋_GB2312"/>
          <w:sz w:val="32"/>
          <w:szCs w:val="32"/>
        </w:rPr>
        <w:t>等。</w:t>
      </w:r>
    </w:p>
    <w:p>
      <w:pPr>
        <w:keepNext w:val="0"/>
        <w:keepLines w:val="0"/>
        <w:pageBreakBefore w:val="0"/>
        <w:kinsoku/>
        <w:wordWrap/>
        <w:overflowPunct/>
        <w:topLinePunct w:val="0"/>
        <w:autoSpaceDE/>
        <w:autoSpaceDN/>
        <w:bidi w:val="0"/>
        <w:spacing w:line="560" w:lineRule="exact"/>
        <w:ind w:firstLine="482" w:firstLineChars="150"/>
        <w:jc w:val="left"/>
        <w:textAlignment w:val="auto"/>
        <w:rPr>
          <w:rFonts w:ascii="仿宋_GB2312" w:eastAsia="仿宋_GB2312"/>
          <w:b/>
          <w:sz w:val="32"/>
          <w:szCs w:val="32"/>
        </w:rPr>
      </w:pPr>
      <w:r>
        <w:rPr>
          <w:rFonts w:hint="eastAsia" w:ascii="仿宋_GB2312" w:eastAsia="仿宋_GB2312"/>
          <w:b/>
          <w:sz w:val="32"/>
          <w:szCs w:val="32"/>
        </w:rPr>
        <w:t>七、一般公共预算财政拨款“三公”经费支出</w:t>
      </w:r>
      <w:r>
        <w:rPr>
          <w:rFonts w:hint="eastAsia" w:ascii="仿宋_GB2312" w:eastAsia="仿宋_GB2312"/>
          <w:b/>
          <w:sz w:val="32"/>
          <w:szCs w:val="32"/>
          <w:lang w:eastAsia="zh-CN"/>
        </w:rPr>
        <w:t>决算</w:t>
      </w:r>
      <w:r>
        <w:rPr>
          <w:rFonts w:hint="eastAsia" w:ascii="仿宋_GB2312" w:eastAsia="仿宋_GB2312"/>
          <w:b/>
          <w:sz w:val="32"/>
          <w:szCs w:val="32"/>
        </w:rPr>
        <w:t>情况说明</w:t>
      </w:r>
    </w:p>
    <w:p>
      <w:pPr>
        <w:keepNext w:val="0"/>
        <w:keepLines w:val="0"/>
        <w:pageBreakBefore w:val="0"/>
        <w:widowControl/>
        <w:kinsoku/>
        <w:wordWrap/>
        <w:overflowPunct/>
        <w:topLinePunct w:val="0"/>
        <w:autoSpaceDE/>
        <w:autoSpaceDN/>
        <w:bidi w:val="0"/>
        <w:adjustRightInd w:val="0"/>
        <w:snapToGrid w:val="0"/>
        <w:spacing w:after="0" w:line="560" w:lineRule="exact"/>
        <w:ind w:firstLine="608" w:firstLineChars="200"/>
        <w:jc w:val="both"/>
        <w:textAlignment w:val="auto"/>
        <w:rPr>
          <w:rFonts w:hint="eastAsia" w:ascii="仿宋_GB2312" w:hAnsi="仿宋_GB2312" w:eastAsia="仿宋_GB2312" w:cs="仿宋_GB2312"/>
          <w:snapToGrid w:val="0"/>
          <w:w w:val="95"/>
          <w:sz w:val="32"/>
          <w:szCs w:val="32"/>
          <w:highlight w:val="none"/>
          <w:lang w:val="en-US" w:eastAsia="zh-CN"/>
        </w:rPr>
      </w:pPr>
      <w:r>
        <w:rPr>
          <w:rFonts w:hint="eastAsia" w:ascii="仿宋_GB2312" w:hAnsi="仿宋_GB2312" w:eastAsia="仿宋_GB2312" w:cs="仿宋_GB2312"/>
          <w:snapToGrid w:val="0"/>
          <w:w w:val="95"/>
          <w:sz w:val="32"/>
          <w:szCs w:val="32"/>
          <w:lang w:val="en-US" w:eastAsia="zh-CN"/>
        </w:rPr>
        <w:t>2021年度一般公共预算财政拨款“三公”经费总支出</w:t>
      </w:r>
      <w:r>
        <w:rPr>
          <w:rFonts w:hint="eastAsia" w:ascii="仿宋_GB2312" w:hAnsi="仿宋_GB2312" w:eastAsia="仿宋_GB2312" w:cs="仿宋_GB2312"/>
          <w:snapToGrid w:val="0"/>
          <w:w w:val="95"/>
          <w:sz w:val="32"/>
          <w:szCs w:val="32"/>
          <w:highlight w:val="none"/>
          <w:lang w:val="en-US" w:eastAsia="zh-CN"/>
        </w:rPr>
        <w:t>22.06</w:t>
      </w:r>
      <w:r>
        <w:rPr>
          <w:rFonts w:hint="eastAsia" w:ascii="仿宋_GB2312" w:hAnsi="仿宋_GB2312" w:eastAsia="仿宋_GB2312" w:cs="仿宋_GB2312"/>
          <w:snapToGrid w:val="0"/>
          <w:w w:val="95"/>
          <w:sz w:val="32"/>
          <w:szCs w:val="32"/>
          <w:lang w:val="en-US" w:eastAsia="zh-CN"/>
        </w:rPr>
        <w:t>万元，比年初预算减少0.9万元，降低4.08%。比上年决算减少12.01万元，同比降低35.26%</w:t>
      </w:r>
      <w:r>
        <w:rPr>
          <w:rFonts w:hint="eastAsia" w:ascii="仿宋_GB2312" w:hAnsi="仿宋_GB2312" w:eastAsia="仿宋_GB2312" w:cs="仿宋_GB2312"/>
          <w:sz w:val="32"/>
          <w:szCs w:val="32"/>
          <w:highlight w:val="none"/>
          <w:lang w:val="en-US" w:eastAsia="zh-CN"/>
        </w:rPr>
        <w:t>。其中：</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08" w:firstLineChars="200"/>
        <w:jc w:val="both"/>
        <w:textAlignment w:val="auto"/>
        <w:rPr>
          <w:rFonts w:hint="eastAsia" w:ascii="仿宋_GB2312" w:hAnsi="仿宋_GB2312" w:eastAsia="仿宋_GB2312" w:cs="仿宋_GB2312"/>
          <w:snapToGrid w:val="0"/>
          <w:w w:val="95"/>
          <w:sz w:val="32"/>
          <w:szCs w:val="32"/>
          <w:highlight w:val="none"/>
          <w:lang w:val="en-US" w:eastAsia="zh-CN"/>
        </w:rPr>
      </w:pPr>
      <w:r>
        <w:rPr>
          <w:rFonts w:hint="eastAsia" w:ascii="楷体_GB2312" w:hAnsi="楷体_GB2312" w:eastAsia="楷体_GB2312" w:cs="楷体_GB2312"/>
          <w:snapToGrid w:val="0"/>
          <w:w w:val="95"/>
          <w:sz w:val="32"/>
          <w:szCs w:val="32"/>
          <w:highlight w:val="none"/>
          <w:lang w:val="en-US" w:eastAsia="zh-CN"/>
        </w:rPr>
        <w:t>（1）因公出国（境）费用。</w:t>
      </w:r>
      <w:r>
        <w:rPr>
          <w:rFonts w:hint="eastAsia" w:ascii="仿宋_GB2312" w:hAnsi="仿宋_GB2312" w:eastAsia="仿宋_GB2312" w:cs="仿宋_GB2312"/>
          <w:snapToGrid w:val="0"/>
          <w:w w:val="95"/>
          <w:sz w:val="32"/>
          <w:szCs w:val="32"/>
          <w:highlight w:val="none"/>
          <w:lang w:val="en-US" w:eastAsia="zh-CN"/>
        </w:rPr>
        <w:t>因公出国（镜）0团组数0人数，与上年持平。为进一步规范因公出国（境）费用管理，我县因公出国（境）费用按照零基预算原则，因此因公出国（境）费用支出为0万元。</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08" w:firstLineChars="200"/>
        <w:jc w:val="both"/>
        <w:textAlignment w:val="auto"/>
        <w:rPr>
          <w:rFonts w:hint="eastAsia" w:ascii="仿宋_GB2312" w:hAnsi="仿宋_GB2312" w:eastAsia="仿宋_GB2312" w:cs="仿宋_GB2312"/>
          <w:snapToGrid w:val="0"/>
          <w:w w:val="95"/>
          <w:sz w:val="32"/>
          <w:szCs w:val="32"/>
          <w:highlight w:val="none"/>
          <w:lang w:val="en-US" w:eastAsia="zh-CN"/>
        </w:rPr>
      </w:pPr>
      <w:r>
        <w:rPr>
          <w:rFonts w:hint="eastAsia" w:ascii="楷体_GB2312" w:hAnsi="楷体_GB2312" w:eastAsia="楷体_GB2312" w:cs="楷体_GB2312"/>
          <w:snapToGrid w:val="0"/>
          <w:w w:val="95"/>
          <w:sz w:val="32"/>
          <w:szCs w:val="32"/>
          <w:highlight w:val="none"/>
          <w:lang w:val="en-US" w:eastAsia="zh-CN"/>
        </w:rPr>
        <w:t>（2）公务用车购置及运行费</w:t>
      </w:r>
      <w:r>
        <w:rPr>
          <w:rFonts w:hint="eastAsia" w:ascii="仿宋_GB2312" w:hAnsi="仿宋_GB2312" w:eastAsia="仿宋_GB2312" w:cs="仿宋_GB2312"/>
          <w:snapToGrid w:val="0"/>
          <w:w w:val="95"/>
          <w:sz w:val="32"/>
          <w:szCs w:val="32"/>
          <w:highlight w:val="none"/>
          <w:lang w:val="en-US" w:eastAsia="zh-CN"/>
        </w:rPr>
        <w:t>。2021年度支出21.47万元，其中：</w:t>
      </w:r>
    </w:p>
    <w:p>
      <w:pPr>
        <w:keepNext w:val="0"/>
        <w:keepLines w:val="0"/>
        <w:pageBreakBefore w:val="0"/>
        <w:widowControl/>
        <w:kinsoku/>
        <w:wordWrap/>
        <w:overflowPunct/>
        <w:topLinePunct w:val="0"/>
        <w:autoSpaceDE/>
        <w:autoSpaceDN/>
        <w:bidi w:val="0"/>
        <w:adjustRightInd w:val="0"/>
        <w:snapToGrid w:val="0"/>
        <w:spacing w:after="0" w:line="560" w:lineRule="exact"/>
        <w:ind w:firstLine="608" w:firstLineChars="200"/>
        <w:jc w:val="both"/>
        <w:textAlignment w:val="auto"/>
        <w:rPr>
          <w:rFonts w:hint="eastAsia" w:ascii="仿宋_GB2312" w:hAnsi="仿宋_GB2312" w:eastAsia="仿宋_GB2312" w:cs="仿宋_GB2312"/>
          <w:snapToGrid w:val="0"/>
          <w:w w:val="95"/>
          <w:sz w:val="32"/>
          <w:szCs w:val="32"/>
          <w:highlight w:val="none"/>
          <w:lang w:val="en-US" w:eastAsia="zh-CN"/>
        </w:rPr>
      </w:pPr>
      <w:r>
        <w:rPr>
          <w:rFonts w:hint="eastAsia" w:ascii="仿宋_GB2312" w:hAnsi="仿宋_GB2312" w:eastAsia="仿宋_GB2312" w:cs="仿宋_GB2312"/>
          <w:snapToGrid w:val="0"/>
          <w:w w:val="95"/>
          <w:sz w:val="32"/>
          <w:szCs w:val="32"/>
          <w:highlight w:val="none"/>
          <w:lang w:val="en-US" w:eastAsia="zh-CN"/>
        </w:rPr>
        <w:t>1.公务用车购置费。公务用车购置数为0，保有量为16辆，</w:t>
      </w:r>
      <w:r>
        <w:rPr>
          <w:rFonts w:hint="eastAsia" w:ascii="仿宋_GB2312" w:hAnsi="仿宋_GB2312" w:eastAsia="仿宋_GB2312" w:cs="仿宋_GB2312"/>
          <w:snapToGrid w:val="0"/>
          <w:w w:val="95"/>
          <w:sz w:val="32"/>
          <w:szCs w:val="32"/>
          <w:lang w:val="en-US" w:eastAsia="zh-CN"/>
        </w:rPr>
        <w:t>与上年持平，与预算数</w:t>
      </w:r>
      <w:r>
        <w:rPr>
          <w:rFonts w:hint="eastAsia" w:ascii="仿宋_GB2312" w:hAnsi="仿宋_GB2312" w:eastAsia="仿宋_GB2312" w:cs="仿宋_GB2312"/>
          <w:snapToGrid w:val="0"/>
          <w:w w:val="95"/>
          <w:sz w:val="32"/>
          <w:szCs w:val="32"/>
          <w:highlight w:val="none"/>
          <w:lang w:val="en-US" w:eastAsia="zh-CN"/>
        </w:rPr>
        <w:t>持平。公务用车购置严格按照我县车辆管理及厉行节约有关要求实行总额控制。</w:t>
      </w:r>
    </w:p>
    <w:p>
      <w:pPr>
        <w:keepNext w:val="0"/>
        <w:keepLines w:val="0"/>
        <w:pageBreakBefore w:val="0"/>
        <w:widowControl/>
        <w:kinsoku/>
        <w:wordWrap/>
        <w:overflowPunct/>
        <w:topLinePunct w:val="0"/>
        <w:autoSpaceDE/>
        <w:autoSpaceDN/>
        <w:bidi w:val="0"/>
        <w:adjustRightInd w:val="0"/>
        <w:snapToGrid w:val="0"/>
        <w:spacing w:after="0" w:line="560" w:lineRule="exact"/>
        <w:ind w:firstLine="608" w:firstLineChars="200"/>
        <w:jc w:val="both"/>
        <w:textAlignment w:val="auto"/>
        <w:rPr>
          <w:rFonts w:hint="eastAsia" w:ascii="仿宋_GB2312" w:hAnsi="仿宋_GB2312" w:eastAsia="仿宋_GB2312" w:cs="仿宋_GB2312"/>
          <w:snapToGrid w:val="0"/>
          <w:w w:val="95"/>
          <w:sz w:val="32"/>
          <w:szCs w:val="32"/>
          <w:highlight w:val="none"/>
          <w:lang w:val="en-US" w:eastAsia="zh-CN"/>
        </w:rPr>
      </w:pPr>
      <w:r>
        <w:rPr>
          <w:rFonts w:hint="eastAsia" w:ascii="仿宋_GB2312" w:hAnsi="仿宋_GB2312" w:eastAsia="仿宋_GB2312" w:cs="仿宋_GB2312"/>
          <w:snapToGrid w:val="0"/>
          <w:w w:val="95"/>
          <w:sz w:val="32"/>
          <w:szCs w:val="32"/>
          <w:highlight w:val="none"/>
          <w:lang w:val="en-US" w:eastAsia="zh-CN"/>
        </w:rPr>
        <w:t>2.公务用车运行费。2021年度支出21.47万元，比年初预算增加8.03万元，增长37.40%。比</w:t>
      </w:r>
      <w:r>
        <w:rPr>
          <w:rFonts w:hint="eastAsia" w:ascii="仿宋_GB2312" w:hAnsi="仿宋_GB2312" w:eastAsia="仿宋_GB2312" w:cs="仿宋_GB2312"/>
          <w:sz w:val="32"/>
          <w:szCs w:val="32"/>
          <w:highlight w:val="none"/>
          <w:lang w:val="en-US" w:eastAsia="zh-CN"/>
        </w:rPr>
        <w:t>上年决算减少12.49万元，同比降低36.77%，主要原因为单位公车维修维护、油料费等费用支出减少</w:t>
      </w:r>
      <w:r>
        <w:rPr>
          <w:rFonts w:hint="eastAsia" w:ascii="仿宋_GB2312" w:hAnsi="仿宋_GB2312" w:eastAsia="仿宋_GB2312" w:cs="仿宋_GB2312"/>
          <w:snapToGrid w:val="0"/>
          <w:w w:val="95"/>
          <w:sz w:val="32"/>
          <w:szCs w:val="32"/>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after="0" w:line="560" w:lineRule="exact"/>
        <w:ind w:firstLine="608" w:firstLineChars="200"/>
        <w:jc w:val="both"/>
        <w:textAlignment w:val="auto"/>
        <w:rPr>
          <w:rFonts w:hint="eastAsia" w:ascii="仿宋_GB2312" w:hAnsi="仿宋_GB2312" w:eastAsia="仿宋_GB2312" w:cs="仿宋_GB2312"/>
          <w:snapToGrid w:val="0"/>
          <w:w w:val="95"/>
          <w:sz w:val="32"/>
          <w:szCs w:val="32"/>
          <w:highlight w:val="none"/>
          <w:lang w:val="en-US" w:eastAsia="zh-CN"/>
        </w:rPr>
      </w:pPr>
      <w:r>
        <w:rPr>
          <w:rFonts w:hint="eastAsia" w:ascii="楷体_GB2312" w:hAnsi="楷体_GB2312" w:eastAsia="楷体_GB2312" w:cs="楷体_GB2312"/>
          <w:snapToGrid w:val="0"/>
          <w:w w:val="95"/>
          <w:sz w:val="32"/>
          <w:szCs w:val="32"/>
          <w:highlight w:val="none"/>
          <w:lang w:val="en-US" w:eastAsia="zh-CN"/>
        </w:rPr>
        <w:t>（3）公务接待费。</w:t>
      </w:r>
      <w:r>
        <w:rPr>
          <w:rFonts w:hint="eastAsia" w:ascii="仿宋_GB2312" w:hAnsi="仿宋_GB2312" w:eastAsia="仿宋_GB2312" w:cs="仿宋_GB2312"/>
          <w:snapToGrid w:val="0"/>
          <w:w w:val="95"/>
          <w:sz w:val="32"/>
          <w:szCs w:val="32"/>
          <w:highlight w:val="none"/>
          <w:lang w:val="en-US" w:eastAsia="zh-CN"/>
        </w:rPr>
        <w:t>2021年度支出0.59万元，公务接待批4次，50人次。比年初预算减少8.93万元，降低1513.56%。比上年增加0.47万元，同比增长79.66%。</w:t>
      </w:r>
      <w:r>
        <w:rPr>
          <w:rFonts w:hint="eastAsia" w:ascii="仿宋_GB2312" w:hAnsi="仿宋_GB2312" w:eastAsia="仿宋_GB2312" w:cs="仿宋_GB2312"/>
          <w:snapToGrid w:val="0"/>
          <w:w w:val="95"/>
          <w:sz w:val="32"/>
          <w:szCs w:val="32"/>
          <w:highlight w:val="none"/>
          <w:lang w:eastAsia="zh-CN"/>
        </w:rPr>
        <w:t>主要原因为我单位按照</w:t>
      </w:r>
      <w:r>
        <w:rPr>
          <w:rFonts w:hint="eastAsia" w:ascii="仿宋_GB2312" w:hAnsi="仿宋_GB2312" w:eastAsia="仿宋_GB2312" w:cs="仿宋_GB2312"/>
          <w:snapToGrid w:val="0"/>
          <w:w w:val="95"/>
          <w:sz w:val="32"/>
          <w:szCs w:val="32"/>
          <w:highlight w:val="none"/>
          <w:lang w:val="en-US" w:eastAsia="zh-CN"/>
        </w:rPr>
        <w:t>公务接待的次数减少，公务接待费支出减少。</w:t>
      </w:r>
    </w:p>
    <w:p>
      <w:pPr>
        <w:pStyle w:val="12"/>
        <w:keepNext w:val="0"/>
        <w:keepLines w:val="0"/>
        <w:pageBreakBefore w:val="0"/>
        <w:kinsoku/>
        <w:wordWrap/>
        <w:overflowPunct/>
        <w:topLinePunct w:val="0"/>
        <w:autoSpaceDE/>
        <w:autoSpaceDN/>
        <w:bidi w:val="0"/>
        <w:spacing w:line="560" w:lineRule="exact"/>
        <w:ind w:left="0" w:leftChars="0"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八、政府性基金预算财政拨款</w:t>
      </w:r>
      <w:r>
        <w:rPr>
          <w:rFonts w:hint="eastAsia" w:ascii="仿宋_GB2312" w:hAnsi="仿宋_GB2312" w:eastAsia="仿宋_GB2312" w:cs="仿宋_GB2312"/>
          <w:b/>
          <w:bCs/>
          <w:sz w:val="32"/>
          <w:szCs w:val="32"/>
          <w:lang w:eastAsia="zh-CN"/>
        </w:rPr>
        <w:t>收入支出</w:t>
      </w:r>
      <w:r>
        <w:rPr>
          <w:rFonts w:hint="eastAsia" w:ascii="仿宋_GB2312" w:hAnsi="仿宋_GB2312" w:eastAsia="仿宋_GB2312" w:cs="仿宋_GB2312"/>
          <w:b/>
          <w:bCs/>
          <w:sz w:val="32"/>
          <w:szCs w:val="32"/>
        </w:rPr>
        <w:t>决算</w:t>
      </w:r>
      <w:r>
        <w:rPr>
          <w:rFonts w:hint="eastAsia" w:ascii="仿宋_GB2312" w:hAnsi="仿宋_GB2312" w:eastAsia="仿宋_GB2312" w:cs="仿宋_GB2312"/>
          <w:b/>
          <w:bCs/>
          <w:sz w:val="32"/>
          <w:szCs w:val="32"/>
          <w:lang w:eastAsia="zh-CN"/>
        </w:rPr>
        <w:t>情况说明</w:t>
      </w:r>
    </w:p>
    <w:p>
      <w:pPr>
        <w:pStyle w:val="12"/>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2021年度政府性基金预算财政拨款收入0万元，</w:t>
      </w:r>
      <w:r>
        <w:rPr>
          <w:rFonts w:hint="eastAsia" w:ascii="仿宋_GB2312" w:hAnsi="仿宋_GB2312" w:eastAsia="仿宋_GB2312" w:cs="仿宋_GB2312"/>
          <w:snapToGrid w:val="0"/>
          <w:w w:val="95"/>
          <w:sz w:val="32"/>
          <w:szCs w:val="32"/>
          <w:lang w:val="en-US" w:eastAsia="zh-CN"/>
        </w:rPr>
        <w:t>与上年持平，与预算数</w:t>
      </w:r>
      <w:r>
        <w:rPr>
          <w:rFonts w:hint="eastAsia" w:ascii="仿宋_GB2312" w:hAnsi="仿宋_GB2312" w:eastAsia="仿宋_GB2312" w:cs="仿宋_GB2312"/>
          <w:snapToGrid w:val="0"/>
          <w:w w:val="95"/>
          <w:sz w:val="32"/>
          <w:szCs w:val="32"/>
          <w:highlight w:val="none"/>
          <w:lang w:val="en-US" w:eastAsia="zh-CN"/>
        </w:rPr>
        <w:t>持平。</w:t>
      </w:r>
    </w:p>
    <w:p>
      <w:pPr>
        <w:keepNext w:val="0"/>
        <w:keepLines w:val="0"/>
        <w:pageBreakBefore w:val="0"/>
        <w:numPr>
          <w:ilvl w:val="0"/>
          <w:numId w:val="3"/>
        </w:numPr>
        <w:kinsoku/>
        <w:wordWrap/>
        <w:overflowPunct/>
        <w:topLinePunct w:val="0"/>
        <w:autoSpaceDE/>
        <w:autoSpaceDN/>
        <w:bidi w:val="0"/>
        <w:spacing w:line="560" w:lineRule="exact"/>
        <w:ind w:leftChars="304"/>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国有资本经营预算财政拨款支出决算情况说明</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2021年度</w:t>
      </w:r>
      <w:r>
        <w:rPr>
          <w:rFonts w:hint="eastAsia" w:ascii="仿宋_GB2312" w:hAnsi="仿宋_GB2312" w:eastAsia="仿宋_GB2312" w:cs="仿宋_GB2312"/>
          <w:b w:val="0"/>
          <w:bCs w:val="0"/>
          <w:sz w:val="32"/>
          <w:szCs w:val="32"/>
          <w:lang w:eastAsia="zh-CN"/>
        </w:rPr>
        <w:t>国有资本经营预算财政拨款支出为</w:t>
      </w:r>
      <w:r>
        <w:rPr>
          <w:rFonts w:hint="eastAsia" w:ascii="仿宋_GB2312" w:hAnsi="仿宋_GB2312" w:eastAsia="仿宋_GB2312" w:cs="仿宋_GB2312"/>
          <w:b w:val="0"/>
          <w:bCs w:val="0"/>
          <w:sz w:val="32"/>
          <w:szCs w:val="32"/>
          <w:lang w:val="en-US" w:eastAsia="zh-CN"/>
        </w:rPr>
        <w:t>0万元，</w:t>
      </w:r>
      <w:r>
        <w:rPr>
          <w:rFonts w:hint="eastAsia" w:ascii="仿宋_GB2312" w:hAnsi="仿宋_GB2312" w:eastAsia="仿宋_GB2312" w:cs="仿宋_GB2312"/>
          <w:snapToGrid w:val="0"/>
          <w:w w:val="95"/>
          <w:sz w:val="32"/>
          <w:szCs w:val="32"/>
          <w:lang w:val="en-US" w:eastAsia="zh-CN"/>
        </w:rPr>
        <w:t>与上年持平，与预算数</w:t>
      </w:r>
      <w:r>
        <w:rPr>
          <w:rFonts w:hint="eastAsia" w:ascii="仿宋_GB2312" w:hAnsi="仿宋_GB2312" w:eastAsia="仿宋_GB2312" w:cs="仿宋_GB2312"/>
          <w:snapToGrid w:val="0"/>
          <w:w w:val="95"/>
          <w:sz w:val="32"/>
          <w:szCs w:val="32"/>
          <w:highlight w:val="none"/>
          <w:lang w:val="en-US" w:eastAsia="zh-CN"/>
        </w:rPr>
        <w:t>持平。</w:t>
      </w:r>
    </w:p>
    <w:p>
      <w:pPr>
        <w:keepNext w:val="0"/>
        <w:keepLines w:val="0"/>
        <w:pageBreakBefore w:val="0"/>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snapToGrid w:val="0"/>
          <w:w w:val="95"/>
          <w:sz w:val="32"/>
          <w:szCs w:val="32"/>
          <w:highlight w:val="none"/>
          <w:lang w:val="en-US" w:eastAsia="zh-CN"/>
        </w:rPr>
      </w:pPr>
      <w:r>
        <w:rPr>
          <w:rFonts w:hint="eastAsia" w:ascii="仿宋_GB2312" w:eastAsia="仿宋_GB2312"/>
          <w:b/>
          <w:bCs/>
          <w:sz w:val="32"/>
          <w:szCs w:val="32"/>
          <w:lang w:eastAsia="zh-CN"/>
        </w:rPr>
        <w:t>十</w:t>
      </w:r>
      <w:r>
        <w:rPr>
          <w:rFonts w:hint="eastAsia" w:ascii="仿宋_GB2312" w:eastAsia="仿宋_GB2312"/>
          <w:b/>
          <w:bCs/>
          <w:sz w:val="32"/>
          <w:szCs w:val="32"/>
        </w:rPr>
        <w:t>、其他重要事项情况说明</w:t>
      </w:r>
    </w:p>
    <w:p>
      <w:pPr>
        <w:keepNext w:val="0"/>
        <w:keepLines w:val="0"/>
        <w:pageBreakBefore w:val="0"/>
        <w:kinsoku/>
        <w:wordWrap/>
        <w:overflowPunct/>
        <w:topLinePunct w:val="0"/>
        <w:autoSpaceDE/>
        <w:autoSpaceDN/>
        <w:bidi w:val="0"/>
        <w:spacing w:line="560" w:lineRule="exact"/>
        <w:ind w:firstLine="480" w:firstLineChars="150"/>
        <w:jc w:val="both"/>
        <w:textAlignment w:val="auto"/>
        <w:outlineLvl w:val="9"/>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机关运行经费</w:t>
      </w:r>
      <w:r>
        <w:rPr>
          <w:rFonts w:hint="eastAsia" w:ascii="楷体_GB2312" w:hAnsi="楷体_GB2312" w:eastAsia="楷体_GB2312" w:cs="楷体_GB2312"/>
          <w:sz w:val="32"/>
          <w:szCs w:val="32"/>
          <w:lang w:eastAsia="zh-CN"/>
        </w:rPr>
        <w:t>执行</w:t>
      </w:r>
      <w:r>
        <w:rPr>
          <w:rFonts w:hint="eastAsia" w:ascii="楷体_GB2312" w:hAnsi="楷体_GB2312" w:eastAsia="楷体_GB2312" w:cs="楷体_GB2312"/>
          <w:sz w:val="32"/>
          <w:szCs w:val="32"/>
        </w:rPr>
        <w:t>情况</w:t>
      </w:r>
      <w:r>
        <w:rPr>
          <w:rFonts w:hint="eastAsia" w:ascii="楷体_GB2312" w:hAnsi="楷体_GB2312" w:eastAsia="楷体_GB2312" w:cs="楷体_GB2312"/>
          <w:sz w:val="32"/>
          <w:szCs w:val="32"/>
          <w:lang w:eastAsia="zh-CN"/>
        </w:rPr>
        <w:t>说明</w:t>
      </w:r>
      <w:r>
        <w:rPr>
          <w:rFonts w:hint="eastAsia" w:ascii="楷体_GB2312" w:hAnsi="楷体_GB2312" w:eastAsia="楷体_GB2312" w:cs="楷体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年度机关运行经费</w:t>
      </w:r>
      <w:r>
        <w:rPr>
          <w:rFonts w:hint="eastAsia" w:ascii="仿宋_GB2312" w:eastAsia="仿宋_GB2312"/>
          <w:sz w:val="32"/>
          <w:szCs w:val="32"/>
          <w:lang w:eastAsia="zh-CN"/>
        </w:rPr>
        <w:t>支出</w:t>
      </w:r>
      <w:r>
        <w:rPr>
          <w:rFonts w:hint="eastAsia" w:ascii="仿宋_GB2312" w:eastAsia="仿宋_GB2312"/>
          <w:sz w:val="32"/>
          <w:szCs w:val="32"/>
          <w:lang w:val="en-US" w:eastAsia="zh-CN"/>
        </w:rPr>
        <w:t>119.11万元，比上年减少45.16万元，同比</w:t>
      </w:r>
      <w:r>
        <w:rPr>
          <w:rFonts w:hint="eastAsia" w:ascii="仿宋_GB2312" w:eastAsia="仿宋_GB2312"/>
          <w:sz w:val="32"/>
          <w:szCs w:val="32"/>
          <w:lang w:eastAsia="zh-CN"/>
        </w:rPr>
        <w:t>减少</w:t>
      </w:r>
      <w:r>
        <w:rPr>
          <w:rFonts w:hint="eastAsia" w:ascii="仿宋_GB2312" w:eastAsia="仿宋_GB2312"/>
          <w:sz w:val="32"/>
          <w:szCs w:val="32"/>
          <w:lang w:val="en-US" w:eastAsia="zh-CN"/>
        </w:rPr>
        <w:t>37.91</w:t>
      </w:r>
      <w:r>
        <w:rPr>
          <w:rFonts w:hint="eastAsia" w:ascii="仿宋_GB2312" w:eastAsia="仿宋_GB2312"/>
          <w:sz w:val="32"/>
          <w:szCs w:val="32"/>
        </w:rPr>
        <w:t>%。</w:t>
      </w:r>
      <w:r>
        <w:rPr>
          <w:rFonts w:hint="eastAsia" w:ascii="仿宋_GB2312" w:eastAsia="仿宋_GB2312"/>
          <w:sz w:val="32"/>
          <w:szCs w:val="32"/>
          <w:lang w:eastAsia="zh-CN"/>
        </w:rPr>
        <w:t>主要原因为公用经费支出减少。</w:t>
      </w:r>
    </w:p>
    <w:p>
      <w:pPr>
        <w:keepNext w:val="0"/>
        <w:keepLines w:val="0"/>
        <w:pageBreakBefore w:val="0"/>
        <w:kinsoku/>
        <w:wordWrap/>
        <w:overflowPunct/>
        <w:topLinePunct w:val="0"/>
        <w:autoSpaceDE/>
        <w:autoSpaceDN/>
        <w:bidi w:val="0"/>
        <w:spacing w:line="560" w:lineRule="exact"/>
        <w:ind w:firstLine="480" w:firstLineChars="150"/>
        <w:jc w:val="left"/>
        <w:textAlignment w:val="auto"/>
        <w:outlineLvl w:val="9"/>
        <w:rPr>
          <w:rFonts w:hint="default" w:ascii="楷体_GB2312" w:hAnsi="楷体_GB2312" w:eastAsia="仿宋_GB2312" w:cs="楷体_GB2312"/>
          <w:sz w:val="32"/>
          <w:szCs w:val="32"/>
          <w:lang w:val="en-US" w:eastAsia="zh-CN"/>
        </w:rPr>
      </w:pPr>
      <w:r>
        <w:rPr>
          <w:rFonts w:hint="eastAsia" w:ascii="楷体_GB2312" w:hAnsi="楷体_GB2312" w:eastAsia="楷体_GB2312" w:cs="楷体_GB2312"/>
          <w:sz w:val="32"/>
          <w:szCs w:val="32"/>
          <w:lang w:val="en-US" w:eastAsia="zh-CN"/>
        </w:rPr>
        <w:t>（二）政府采购支出情况说明。</w:t>
      </w: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年度</w:t>
      </w:r>
      <w:r>
        <w:rPr>
          <w:rFonts w:hint="eastAsia" w:ascii="仿宋_GB2312" w:eastAsia="仿宋_GB2312"/>
          <w:sz w:val="32"/>
          <w:szCs w:val="32"/>
          <w:lang w:eastAsia="zh-CN"/>
        </w:rPr>
        <w:t>政府采购支出</w:t>
      </w:r>
      <w:r>
        <w:rPr>
          <w:rFonts w:hint="eastAsia" w:ascii="仿宋_GB2312" w:eastAsia="仿宋_GB2312"/>
          <w:sz w:val="32"/>
          <w:szCs w:val="32"/>
          <w:lang w:val="en-US" w:eastAsia="zh-CN"/>
        </w:rPr>
        <w:t>0万元，其中：政府采购货物支出0万元，政府采购工程支出0万元，政府采购服务支出0万元。</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国有资产占</w:t>
      </w:r>
      <w:r>
        <w:rPr>
          <w:rFonts w:hint="eastAsia" w:ascii="楷体_GB2312" w:hAnsi="楷体_GB2312" w:eastAsia="楷体_GB2312" w:cs="楷体_GB2312"/>
          <w:sz w:val="32"/>
          <w:szCs w:val="32"/>
          <w:lang w:eastAsia="zh-CN"/>
        </w:rPr>
        <w:t>用</w:t>
      </w:r>
      <w:r>
        <w:rPr>
          <w:rFonts w:hint="eastAsia" w:ascii="楷体_GB2312" w:hAnsi="楷体_GB2312" w:eastAsia="楷体_GB2312" w:cs="楷体_GB2312"/>
          <w:sz w:val="32"/>
          <w:szCs w:val="32"/>
        </w:rPr>
        <w:t>情况</w:t>
      </w:r>
      <w:r>
        <w:rPr>
          <w:rFonts w:hint="eastAsia" w:ascii="楷体_GB2312" w:hAnsi="楷体_GB2312" w:eastAsia="楷体_GB2312" w:cs="楷体_GB2312"/>
          <w:sz w:val="32"/>
          <w:szCs w:val="32"/>
          <w:lang w:eastAsia="zh-CN"/>
        </w:rPr>
        <w:t>说明</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31日</w:t>
      </w:r>
      <w:r>
        <w:rPr>
          <w:rFonts w:hint="eastAsia" w:ascii="仿宋_GB2312" w:hAnsi="仿宋_GB2312" w:eastAsia="仿宋_GB2312" w:cs="仿宋_GB2312"/>
          <w:sz w:val="32"/>
          <w:szCs w:val="32"/>
        </w:rPr>
        <w:t>，本部门共有车辆</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辆，其中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一般公务用车</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、机要通信用车</w:t>
      </w:r>
      <w:r>
        <w:rPr>
          <w:rFonts w:hint="eastAsia" w:ascii="仿宋_GB2312" w:hAnsi="仿宋_GB2312" w:eastAsia="仿宋_GB2312" w:cs="仿宋_GB2312"/>
          <w:sz w:val="32"/>
          <w:szCs w:val="32"/>
          <w:lang w:val="en-US" w:eastAsia="zh-CN"/>
        </w:rPr>
        <w:t>0辆、应急保障用车0辆、执法执勤用车0辆、其他用车10辆、</w:t>
      </w:r>
      <w:r>
        <w:rPr>
          <w:rFonts w:hint="eastAsia" w:ascii="仿宋_GB2312" w:hAnsi="仿宋_GB2312" w:eastAsia="仿宋_GB2312" w:cs="仿宋_GB2312"/>
          <w:sz w:val="32"/>
          <w:szCs w:val="32"/>
        </w:rPr>
        <w:t>单价50万元</w:t>
      </w:r>
      <w:r>
        <w:rPr>
          <w:rFonts w:hint="eastAsia" w:ascii="仿宋_GB2312" w:hAnsi="仿宋_GB2312" w:eastAsia="仿宋_GB2312" w:cs="仿宋_GB2312"/>
          <w:sz w:val="32"/>
          <w:szCs w:val="32"/>
          <w:lang w:eastAsia="zh-CN"/>
        </w:rPr>
        <w:t>（含）</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单价100万元</w:t>
      </w:r>
      <w:r>
        <w:rPr>
          <w:rFonts w:hint="eastAsia" w:ascii="仿宋_GB2312" w:hAnsi="仿宋_GB2312" w:eastAsia="仿宋_GB2312" w:cs="仿宋_GB2312"/>
          <w:sz w:val="32"/>
          <w:szCs w:val="32"/>
          <w:lang w:eastAsia="zh-CN"/>
        </w:rPr>
        <w:t>（含）</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（四）重点绩效评价结果等预算绩效情况说明。</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根据预算绩效管理要求，察隅县下察隅镇人民政府</w:t>
      </w:r>
      <w:r>
        <w:rPr>
          <w:rFonts w:hint="eastAsia" w:ascii="仿宋_GB2312" w:hAnsi="仿宋_GB2312" w:eastAsia="仿宋_GB2312" w:cs="仿宋_GB2312"/>
          <w:sz w:val="32"/>
          <w:szCs w:val="32"/>
          <w:lang w:val="en-US" w:eastAsia="zh-CN"/>
        </w:rPr>
        <w:t>已按要求编制整体支出绩效目标，并围绕政策落实、年度计划实施、重点工作任务和重大项目开展以及资金管理使用等情况，开展整体支出绩效自评。</w:t>
      </w:r>
      <w:bookmarkStart w:id="0" w:name="_GoBack"/>
      <w:r>
        <w:rPr>
          <w:rFonts w:hint="eastAsia" w:ascii="仿宋_GB2312" w:hAnsi="仿宋_GB2312" w:eastAsia="仿宋_GB2312" w:cs="仿宋_GB2312"/>
          <w:sz w:val="32"/>
          <w:szCs w:val="32"/>
          <w:highlight w:val="none"/>
          <w:lang w:val="en-US" w:eastAsia="zh-CN"/>
        </w:rPr>
        <w:t>（详见附件2）</w:t>
      </w:r>
      <w:bookmarkEnd w:id="0"/>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lang w:eastAsia="zh-CN"/>
        </w:rPr>
        <w:t>（五）</w:t>
      </w:r>
      <w:r>
        <w:rPr>
          <w:rFonts w:hint="eastAsia" w:ascii="楷体_GB2312" w:hAnsi="楷体_GB2312" w:eastAsia="楷体_GB2312" w:cs="楷体_GB2312"/>
          <w:b w:val="0"/>
          <w:bCs/>
          <w:sz w:val="32"/>
          <w:szCs w:val="32"/>
        </w:rPr>
        <w:t>重点、重大项目信息</w:t>
      </w:r>
      <w:r>
        <w:rPr>
          <w:rFonts w:hint="eastAsia" w:ascii="楷体_GB2312" w:hAnsi="楷体_GB2312" w:eastAsia="楷体_GB2312" w:cs="楷体_GB2312"/>
          <w:b w:val="0"/>
          <w:bCs/>
          <w:sz w:val="32"/>
          <w:szCs w:val="32"/>
          <w:lang w:eastAsia="zh-CN"/>
        </w:rPr>
        <w:t>说明。</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年</w:t>
      </w:r>
      <w:r>
        <w:rPr>
          <w:rFonts w:hint="eastAsia" w:ascii="仿宋_GB2312" w:eastAsia="仿宋_GB2312"/>
          <w:sz w:val="32"/>
          <w:szCs w:val="32"/>
          <w:highlight w:val="none"/>
          <w:lang w:eastAsia="zh-CN"/>
        </w:rPr>
        <w:t>度察隅县下察隅镇人民政府</w:t>
      </w:r>
      <w:r>
        <w:rPr>
          <w:rFonts w:hint="eastAsia" w:ascii="仿宋_GB2312" w:eastAsia="仿宋_GB2312"/>
          <w:sz w:val="32"/>
          <w:szCs w:val="32"/>
          <w:highlight w:val="none"/>
        </w:rPr>
        <w:t>无重</w:t>
      </w:r>
      <w:r>
        <w:rPr>
          <w:rFonts w:hint="eastAsia" w:ascii="仿宋_GB2312" w:eastAsia="仿宋_GB2312"/>
          <w:sz w:val="32"/>
          <w:szCs w:val="32"/>
          <w:highlight w:val="none"/>
          <w:lang w:eastAsia="zh-CN"/>
        </w:rPr>
        <w:t>点、重</w:t>
      </w:r>
      <w:r>
        <w:rPr>
          <w:rFonts w:hint="eastAsia" w:ascii="仿宋_GB2312" w:eastAsia="仿宋_GB2312"/>
          <w:sz w:val="32"/>
          <w:szCs w:val="32"/>
          <w:highlight w:val="none"/>
        </w:rPr>
        <w:t>大项目</w:t>
      </w:r>
      <w:r>
        <w:rPr>
          <w:rFonts w:hint="eastAsia" w:ascii="仿宋_GB2312" w:eastAsia="仿宋_GB2312"/>
          <w:sz w:val="32"/>
          <w:szCs w:val="32"/>
          <w:highlight w:val="none"/>
          <w:lang w:eastAsia="zh-CN"/>
        </w:rPr>
        <w:t>信息。</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eastAsia="仿宋_GB2312"/>
          <w:sz w:val="32"/>
          <w:szCs w:val="32"/>
          <w:highlight w:val="none"/>
          <w:lang w:eastAsia="zh-CN"/>
        </w:rPr>
      </w:pPr>
    </w:p>
    <w:p>
      <w:pPr>
        <w:keepNext w:val="0"/>
        <w:keepLines w:val="0"/>
        <w:pageBreakBefore w:val="0"/>
        <w:numPr>
          <w:ilvl w:val="0"/>
          <w:numId w:val="4"/>
        </w:numPr>
        <w:kinsoku/>
        <w:wordWrap/>
        <w:overflowPunct/>
        <w:topLinePunct w:val="0"/>
        <w:autoSpaceDE/>
        <w:autoSpaceDN/>
        <w:bidi w:val="0"/>
        <w:spacing w:line="560" w:lineRule="exact"/>
        <w:ind w:left="48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名词解释</w:t>
      </w:r>
    </w:p>
    <w:p>
      <w:pPr>
        <w:pStyle w:val="2"/>
        <w:numPr>
          <w:ilvl w:val="0"/>
          <w:numId w:val="0"/>
        </w:numPr>
        <w:rPr>
          <w:rFonts w:hint="eastAsia"/>
        </w:rPr>
      </w:pPr>
    </w:p>
    <w:p>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w:t>
      </w:r>
      <w:r>
        <w:rPr>
          <w:rFonts w:hint="eastAsia" w:ascii="仿宋_GB2312" w:hAnsi="仿宋_GB2312" w:eastAsia="仿宋_GB2312" w:cs="仿宋_GB2312"/>
          <w:b/>
          <w:sz w:val="32"/>
          <w:szCs w:val="32"/>
          <w:lang w:eastAsia="zh-CN"/>
        </w:rPr>
        <w:t>财政</w:t>
      </w:r>
      <w:r>
        <w:rPr>
          <w:rFonts w:hint="eastAsia" w:ascii="仿宋_GB2312" w:hAnsi="仿宋_GB2312" w:eastAsia="仿宋_GB2312" w:cs="仿宋_GB2312"/>
          <w:b/>
          <w:sz w:val="32"/>
          <w:szCs w:val="32"/>
        </w:rPr>
        <w:t>拨款收入</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rPr>
        <w:t>指财政当年拨付的资金。</w:t>
      </w:r>
    </w:p>
    <w:p>
      <w:pPr>
        <w:keepNext w:val="0"/>
        <w:keepLines w:val="0"/>
        <w:pageBreakBefore w:val="0"/>
        <w:kinsoku/>
        <w:wordWrap/>
        <w:overflowPunct/>
        <w:topLinePunct w:val="0"/>
        <w:autoSpaceDE/>
        <w:autoSpaceDN/>
        <w:bidi w:val="0"/>
        <w:spacing w:line="560" w:lineRule="exact"/>
        <w:ind w:firstLine="630" w:firstLineChars="196"/>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lang w:eastAsia="zh-CN"/>
        </w:rPr>
        <w:t>二、其他收入：</w:t>
      </w:r>
      <w:r>
        <w:rPr>
          <w:rFonts w:hint="eastAsia" w:ascii="仿宋_GB2312" w:hAnsi="仿宋_GB2312" w:eastAsia="仿宋_GB2312" w:cs="仿宋_GB2312"/>
          <w:b w:val="0"/>
          <w:bCs/>
          <w:sz w:val="32"/>
          <w:szCs w:val="32"/>
          <w:lang w:eastAsia="zh-CN"/>
        </w:rPr>
        <w:t>指预算单位在“财政拨款收入”、“事业收入”、“经营收入”之外取得的收入。主要是按规定使用的上级财政补助经费和历年政府采购结转经费。</w:t>
      </w:r>
    </w:p>
    <w:p>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三、一般公共服务支出：</w:t>
      </w:r>
      <w:r>
        <w:rPr>
          <w:rFonts w:hint="eastAsia" w:ascii="仿宋_GB2312" w:hAnsi="仿宋_GB2312" w:eastAsia="仿宋_GB2312" w:cs="仿宋_GB2312"/>
          <w:b w:val="0"/>
          <w:bCs w:val="0"/>
          <w:sz w:val="32"/>
          <w:szCs w:val="32"/>
          <w:lang w:eastAsia="zh-CN"/>
        </w:rPr>
        <w:t>反应政府提供一般公共服务的支出。</w:t>
      </w:r>
    </w:p>
    <w:p>
      <w:pPr>
        <w:keepNext w:val="0"/>
        <w:keepLines w:val="0"/>
        <w:pageBreakBefore w:val="0"/>
        <w:kinsoku/>
        <w:wordWrap/>
        <w:overflowPunct/>
        <w:topLinePunct w:val="0"/>
        <w:autoSpaceDE/>
        <w:autoSpaceDN/>
        <w:bidi w:val="0"/>
        <w:spacing w:line="560" w:lineRule="exact"/>
        <w:ind w:firstLine="630" w:firstLineChars="196"/>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、行政运行</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rPr>
        <w:t>指用于保障完成日常工作任务而发生的基本支出。</w:t>
      </w:r>
    </w:p>
    <w:p>
      <w:pPr>
        <w:keepNext w:val="0"/>
        <w:keepLines w:val="0"/>
        <w:pageBreakBefore w:val="0"/>
        <w:kinsoku/>
        <w:wordWrap/>
        <w:overflowPunct/>
        <w:topLinePunct w:val="0"/>
        <w:autoSpaceDE/>
        <w:autoSpaceDN/>
        <w:bidi w:val="0"/>
        <w:spacing w:line="560" w:lineRule="exact"/>
        <w:ind w:firstLine="630" w:firstLineChars="196"/>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五、住房保障支出</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rPr>
        <w:t>指按照国家政策规定用于住房方面的支出。</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六、基本支出</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rPr>
        <w:t>指为保障机构正常运转，完成日常工作任务而发生的人员支出</w:t>
      </w:r>
      <w:r>
        <w:rPr>
          <w:rFonts w:hint="eastAsia" w:ascii="仿宋_GB2312" w:hAnsi="仿宋_GB2312" w:eastAsia="仿宋_GB2312" w:cs="仿宋_GB2312"/>
          <w:sz w:val="32"/>
          <w:szCs w:val="32"/>
          <w:lang w:eastAsia="zh-CN"/>
        </w:rPr>
        <w:t>（包括基本工资、津贴补贴等）</w:t>
      </w:r>
      <w:r>
        <w:rPr>
          <w:rFonts w:hint="eastAsia" w:ascii="仿宋_GB2312" w:hAnsi="仿宋_GB2312" w:eastAsia="仿宋_GB2312" w:cs="仿宋_GB2312"/>
          <w:sz w:val="32"/>
          <w:szCs w:val="32"/>
        </w:rPr>
        <w:t>和公用支出</w:t>
      </w:r>
      <w:r>
        <w:rPr>
          <w:rFonts w:hint="eastAsia" w:ascii="仿宋_GB2312" w:hAnsi="仿宋_GB2312" w:eastAsia="仿宋_GB2312" w:cs="仿宋_GB2312"/>
          <w:sz w:val="32"/>
          <w:szCs w:val="32"/>
          <w:lang w:eastAsia="zh-CN"/>
        </w:rPr>
        <w:t>（包括办公费、邮电费、差旅费及印刷费等）</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七、项目支出，</w:t>
      </w:r>
      <w:r>
        <w:rPr>
          <w:rFonts w:hint="eastAsia" w:ascii="仿宋_GB2312" w:hAnsi="仿宋_GB2312" w:eastAsia="仿宋_GB2312" w:cs="仿宋_GB2312"/>
          <w:sz w:val="32"/>
          <w:szCs w:val="32"/>
        </w:rPr>
        <w:t>指在基本支出之外为完成特定行政任务和事业发展目标所发生的支出。</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八、年末结转和结余：</w:t>
      </w:r>
      <w:r>
        <w:rPr>
          <w:rFonts w:hint="eastAsia" w:ascii="仿宋_GB2312" w:hAnsi="仿宋_GB2312" w:eastAsia="仿宋_GB2312" w:cs="仿宋_GB2312"/>
          <w:b w:val="0"/>
          <w:bCs w:val="0"/>
          <w:sz w:val="32"/>
          <w:szCs w:val="32"/>
          <w:lang w:eastAsia="zh-CN"/>
        </w:rPr>
        <w:t>指本年度或以前年度预算安排，因客观条件发生变化无法按原计划实施，需要延迟到以后年度按有关规定继续使用的资金。</w:t>
      </w:r>
    </w:p>
    <w:p>
      <w:pPr>
        <w:keepNext w:val="0"/>
        <w:keepLines w:val="0"/>
        <w:pageBreakBefore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lang w:eastAsia="zh-CN"/>
        </w:rPr>
        <w:t>九</w:t>
      </w:r>
      <w:r>
        <w:rPr>
          <w:rFonts w:hint="eastAsia" w:ascii="仿宋_GB2312" w:hAnsi="仿宋_GB2312" w:eastAsia="仿宋_GB2312" w:cs="仿宋_GB2312"/>
          <w:b/>
          <w:sz w:val="32"/>
          <w:szCs w:val="32"/>
        </w:rPr>
        <w:t>、</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三公</w:t>
      </w:r>
      <w:r>
        <w:rPr>
          <w:rFonts w:ascii="仿宋_GB2312" w:hAnsi="仿宋_GB2312" w:eastAsia="仿宋_GB2312" w:cs="仿宋_GB2312"/>
          <w:b/>
          <w:sz w:val="32"/>
          <w:szCs w:val="32"/>
        </w:rPr>
        <w:t>”</w:t>
      </w:r>
      <w:r>
        <w:rPr>
          <w:rFonts w:hint="eastAsia" w:ascii="仿宋_GB2312" w:hAnsi="仿宋_GB2312" w:eastAsia="仿宋_GB2312" w:cs="仿宋_GB2312"/>
          <w:b/>
          <w:sz w:val="32"/>
          <w:szCs w:val="32"/>
        </w:rPr>
        <w:t>经费</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rPr>
        <w:t>指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spacing w:line="560" w:lineRule="exact"/>
        <w:ind w:firstLine="630" w:firstLineChars="196"/>
        <w:jc w:val="both"/>
        <w:textAlignment w:val="auto"/>
        <w:rPr>
          <w:rFonts w:ascii="黑体" w:eastAsia="黑体"/>
          <w:sz w:val="32"/>
          <w:szCs w:val="32"/>
        </w:rPr>
      </w:pPr>
      <w:r>
        <w:rPr>
          <w:rFonts w:hint="eastAsia" w:ascii="仿宋_GB2312" w:hAnsi="仿宋_GB2312" w:eastAsia="仿宋_GB2312" w:cs="仿宋_GB2312"/>
          <w:b/>
          <w:sz w:val="32"/>
          <w:szCs w:val="32"/>
          <w:lang w:eastAsia="zh-CN"/>
        </w:rPr>
        <w:t>十</w:t>
      </w:r>
      <w:r>
        <w:rPr>
          <w:rFonts w:hint="eastAsia" w:ascii="仿宋_GB2312" w:hAnsi="仿宋_GB2312" w:eastAsia="仿宋_GB2312" w:cs="仿宋_GB2312"/>
          <w:b/>
          <w:sz w:val="32"/>
          <w:szCs w:val="32"/>
        </w:rPr>
        <w:t>、机关运行经费，</w:t>
      </w:r>
      <w:r>
        <w:rPr>
          <w:rFonts w:hint="eastAsia" w:ascii="仿宋_GB2312" w:hAnsi="仿宋_GB2312" w:eastAsia="仿宋_GB2312" w:cs="仿宋_GB2312"/>
          <w:sz w:val="32"/>
          <w:szCs w:val="32"/>
        </w:rPr>
        <w:t>指为保障行政单位（包括参照公务员法管理的事业单位）运行用于购买货物和服务的各项资金，包括办公及印刷费、邮电费、差旅费、会议费、福利费、维修（护）费、专用材料及一般设备购置费、办公用房水电费、办公用房取暖费、办公用房物业管理费、公务用车运行维护费以及其他费用。</w:t>
      </w:r>
    </w:p>
    <w:p>
      <w:pPr>
        <w:ind w:firstLine="640" w:firstLineChars="200"/>
        <w:rPr>
          <w:rFonts w:ascii="仿宋_GB2312" w:hAnsi="仿宋_GB2312" w:eastAsia="仿宋_GB2312" w:cs="仿宋_GB2312"/>
          <w:sz w:val="32"/>
          <w:szCs w:val="32"/>
        </w:rPr>
      </w:pPr>
    </w:p>
    <w:p>
      <w:pPr>
        <w:ind w:left="480"/>
        <w:jc w:val="left"/>
        <w:rPr>
          <w:rFonts w:ascii="黑体" w:eastAsia="黑体"/>
          <w:sz w:val="32"/>
          <w:szCs w:val="32"/>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- 3 -</w:t>
                </w:r>
                <w:r>
                  <w:rPr>
                    <w:rFonts w:hint="eastAsia" w:ascii="仿宋" w:hAnsi="仿宋" w:eastAsia="仿宋" w:cs="仿宋"/>
                    <w:sz w:val="24"/>
                    <w:szCs w:val="24"/>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rPr>
        <w:rFonts w:hint="eastAsia" w:eastAsiaTheme="minor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976595"/>
    <w:multiLevelType w:val="singleLevel"/>
    <w:tmpl w:val="E0976595"/>
    <w:lvl w:ilvl="0" w:tentative="0">
      <w:start w:val="9"/>
      <w:numFmt w:val="chineseCounting"/>
      <w:suff w:val="nothing"/>
      <w:lvlText w:val="%1、"/>
      <w:lvlJc w:val="left"/>
      <w:rPr>
        <w:rFonts w:hint="eastAsia"/>
      </w:rPr>
    </w:lvl>
  </w:abstractNum>
  <w:abstractNum w:abstractNumId="1">
    <w:nsid w:val="F50EE010"/>
    <w:multiLevelType w:val="singleLevel"/>
    <w:tmpl w:val="F50EE010"/>
    <w:lvl w:ilvl="0" w:tentative="0">
      <w:start w:val="1"/>
      <w:numFmt w:val="decimal"/>
      <w:lvlText w:val="%1."/>
      <w:lvlJc w:val="left"/>
      <w:pPr>
        <w:tabs>
          <w:tab w:val="left" w:pos="312"/>
        </w:tabs>
      </w:pPr>
    </w:lvl>
  </w:abstractNum>
  <w:abstractNum w:abstractNumId="2">
    <w:nsid w:val="009286D0"/>
    <w:multiLevelType w:val="singleLevel"/>
    <w:tmpl w:val="009286D0"/>
    <w:lvl w:ilvl="0" w:tentative="0">
      <w:start w:val="4"/>
      <w:numFmt w:val="chineseCounting"/>
      <w:suff w:val="space"/>
      <w:lvlText w:val="第%1部分"/>
      <w:lvlJc w:val="left"/>
      <w:rPr>
        <w:rFonts w:hint="eastAsia"/>
      </w:rPr>
    </w:lvl>
  </w:abstractNum>
  <w:abstractNum w:abstractNumId="3">
    <w:nsid w:val="347EE069"/>
    <w:multiLevelType w:val="singleLevel"/>
    <w:tmpl w:val="347EE069"/>
    <w:lvl w:ilvl="0" w:tentative="0">
      <w:start w:val="1"/>
      <w:numFmt w:val="chineseCounting"/>
      <w:suff w:val="space"/>
      <w:lvlText w:val="第%1部分"/>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05B8"/>
    <w:rsid w:val="00016C44"/>
    <w:rsid w:val="00043D60"/>
    <w:rsid w:val="00054E45"/>
    <w:rsid w:val="000607F3"/>
    <w:rsid w:val="00086A9F"/>
    <w:rsid w:val="0009057B"/>
    <w:rsid w:val="000A2894"/>
    <w:rsid w:val="000A5378"/>
    <w:rsid w:val="000B783F"/>
    <w:rsid w:val="000D0595"/>
    <w:rsid w:val="000D4985"/>
    <w:rsid w:val="00126EFE"/>
    <w:rsid w:val="001317C0"/>
    <w:rsid w:val="0014514F"/>
    <w:rsid w:val="00157679"/>
    <w:rsid w:val="0018256F"/>
    <w:rsid w:val="00182F3B"/>
    <w:rsid w:val="001853F5"/>
    <w:rsid w:val="00192643"/>
    <w:rsid w:val="001C0F82"/>
    <w:rsid w:val="001C3A6C"/>
    <w:rsid w:val="001C5F53"/>
    <w:rsid w:val="001D7F86"/>
    <w:rsid w:val="001F3F40"/>
    <w:rsid w:val="0020740D"/>
    <w:rsid w:val="002105BA"/>
    <w:rsid w:val="0021393A"/>
    <w:rsid w:val="00220150"/>
    <w:rsid w:val="00254134"/>
    <w:rsid w:val="00262EA0"/>
    <w:rsid w:val="00271B78"/>
    <w:rsid w:val="002817C5"/>
    <w:rsid w:val="00284ED4"/>
    <w:rsid w:val="00286E41"/>
    <w:rsid w:val="002A6A25"/>
    <w:rsid w:val="002C7AB7"/>
    <w:rsid w:val="002D72FE"/>
    <w:rsid w:val="002E7870"/>
    <w:rsid w:val="002F4A21"/>
    <w:rsid w:val="002F4B79"/>
    <w:rsid w:val="002F5DE7"/>
    <w:rsid w:val="0031038C"/>
    <w:rsid w:val="00320A35"/>
    <w:rsid w:val="0032333D"/>
    <w:rsid w:val="0036111C"/>
    <w:rsid w:val="003743EB"/>
    <w:rsid w:val="00381692"/>
    <w:rsid w:val="00382ED7"/>
    <w:rsid w:val="0038317D"/>
    <w:rsid w:val="00397491"/>
    <w:rsid w:val="0039795E"/>
    <w:rsid w:val="003B2CE5"/>
    <w:rsid w:val="003C5576"/>
    <w:rsid w:val="003D2184"/>
    <w:rsid w:val="00424DB7"/>
    <w:rsid w:val="00426560"/>
    <w:rsid w:val="00433ACE"/>
    <w:rsid w:val="004349E9"/>
    <w:rsid w:val="00440864"/>
    <w:rsid w:val="004652C4"/>
    <w:rsid w:val="0048613F"/>
    <w:rsid w:val="0048713A"/>
    <w:rsid w:val="00493967"/>
    <w:rsid w:val="004A2C48"/>
    <w:rsid w:val="004A3D10"/>
    <w:rsid w:val="004B3831"/>
    <w:rsid w:val="004C3C58"/>
    <w:rsid w:val="004D6DBC"/>
    <w:rsid w:val="004E4C77"/>
    <w:rsid w:val="00502C0D"/>
    <w:rsid w:val="00516720"/>
    <w:rsid w:val="00520B00"/>
    <w:rsid w:val="0052273C"/>
    <w:rsid w:val="00530DB1"/>
    <w:rsid w:val="005320AE"/>
    <w:rsid w:val="00546D0D"/>
    <w:rsid w:val="00547B87"/>
    <w:rsid w:val="00551770"/>
    <w:rsid w:val="005879F2"/>
    <w:rsid w:val="00591EDB"/>
    <w:rsid w:val="005931B7"/>
    <w:rsid w:val="005A6CDD"/>
    <w:rsid w:val="005C1A37"/>
    <w:rsid w:val="005C2AA8"/>
    <w:rsid w:val="005D7C94"/>
    <w:rsid w:val="005E75C1"/>
    <w:rsid w:val="00635666"/>
    <w:rsid w:val="0064191F"/>
    <w:rsid w:val="00642876"/>
    <w:rsid w:val="00645A80"/>
    <w:rsid w:val="0065270E"/>
    <w:rsid w:val="006548F7"/>
    <w:rsid w:val="00675798"/>
    <w:rsid w:val="006773DE"/>
    <w:rsid w:val="006A4063"/>
    <w:rsid w:val="006D4CCB"/>
    <w:rsid w:val="006E6A2B"/>
    <w:rsid w:val="0070214C"/>
    <w:rsid w:val="0070260A"/>
    <w:rsid w:val="00705358"/>
    <w:rsid w:val="00712AED"/>
    <w:rsid w:val="00730C30"/>
    <w:rsid w:val="00741A8B"/>
    <w:rsid w:val="007528F7"/>
    <w:rsid w:val="00777A2B"/>
    <w:rsid w:val="0078602E"/>
    <w:rsid w:val="007955C4"/>
    <w:rsid w:val="007A0806"/>
    <w:rsid w:val="007A62E0"/>
    <w:rsid w:val="007C43FB"/>
    <w:rsid w:val="007D01E9"/>
    <w:rsid w:val="007D5217"/>
    <w:rsid w:val="007E301B"/>
    <w:rsid w:val="008029FA"/>
    <w:rsid w:val="00805CE7"/>
    <w:rsid w:val="00812641"/>
    <w:rsid w:val="00815254"/>
    <w:rsid w:val="00821F41"/>
    <w:rsid w:val="008235BF"/>
    <w:rsid w:val="00835C20"/>
    <w:rsid w:val="00836944"/>
    <w:rsid w:val="0085415A"/>
    <w:rsid w:val="00872F0E"/>
    <w:rsid w:val="00886BE8"/>
    <w:rsid w:val="008B2AA9"/>
    <w:rsid w:val="008B6FD9"/>
    <w:rsid w:val="008B7FDB"/>
    <w:rsid w:val="008C052F"/>
    <w:rsid w:val="008E7B46"/>
    <w:rsid w:val="00900172"/>
    <w:rsid w:val="009028C4"/>
    <w:rsid w:val="009033F7"/>
    <w:rsid w:val="00926570"/>
    <w:rsid w:val="009A2610"/>
    <w:rsid w:val="009A4D5A"/>
    <w:rsid w:val="009B0039"/>
    <w:rsid w:val="009B5EA4"/>
    <w:rsid w:val="009B775A"/>
    <w:rsid w:val="009D7E33"/>
    <w:rsid w:val="009E3CF4"/>
    <w:rsid w:val="009E6E04"/>
    <w:rsid w:val="009F4B7D"/>
    <w:rsid w:val="00A0051C"/>
    <w:rsid w:val="00A0582B"/>
    <w:rsid w:val="00A15F59"/>
    <w:rsid w:val="00A20FB5"/>
    <w:rsid w:val="00A26EDD"/>
    <w:rsid w:val="00A377C1"/>
    <w:rsid w:val="00A559DA"/>
    <w:rsid w:val="00A63A81"/>
    <w:rsid w:val="00A8178C"/>
    <w:rsid w:val="00AB67E2"/>
    <w:rsid w:val="00AC462B"/>
    <w:rsid w:val="00AC775C"/>
    <w:rsid w:val="00AD7F12"/>
    <w:rsid w:val="00AE1B8B"/>
    <w:rsid w:val="00AE1D6D"/>
    <w:rsid w:val="00B059F0"/>
    <w:rsid w:val="00B07069"/>
    <w:rsid w:val="00B20D15"/>
    <w:rsid w:val="00B2450D"/>
    <w:rsid w:val="00B34B22"/>
    <w:rsid w:val="00B614C3"/>
    <w:rsid w:val="00B6564E"/>
    <w:rsid w:val="00B71650"/>
    <w:rsid w:val="00B716A8"/>
    <w:rsid w:val="00B87F89"/>
    <w:rsid w:val="00B971E2"/>
    <w:rsid w:val="00BA685C"/>
    <w:rsid w:val="00BB17A4"/>
    <w:rsid w:val="00BC3B74"/>
    <w:rsid w:val="00C0256A"/>
    <w:rsid w:val="00C2739C"/>
    <w:rsid w:val="00C7306A"/>
    <w:rsid w:val="00C742B2"/>
    <w:rsid w:val="00C76D56"/>
    <w:rsid w:val="00C8046F"/>
    <w:rsid w:val="00C91B68"/>
    <w:rsid w:val="00C92C50"/>
    <w:rsid w:val="00CB141A"/>
    <w:rsid w:val="00CC1D3A"/>
    <w:rsid w:val="00CD78D5"/>
    <w:rsid w:val="00D02168"/>
    <w:rsid w:val="00D06EA8"/>
    <w:rsid w:val="00D20F08"/>
    <w:rsid w:val="00D4141F"/>
    <w:rsid w:val="00D522A4"/>
    <w:rsid w:val="00D71343"/>
    <w:rsid w:val="00D7224C"/>
    <w:rsid w:val="00D87458"/>
    <w:rsid w:val="00DA653D"/>
    <w:rsid w:val="00DB6465"/>
    <w:rsid w:val="00DC1B16"/>
    <w:rsid w:val="00DF56D0"/>
    <w:rsid w:val="00DF7D53"/>
    <w:rsid w:val="00E20BC6"/>
    <w:rsid w:val="00E30894"/>
    <w:rsid w:val="00E36848"/>
    <w:rsid w:val="00E43DB9"/>
    <w:rsid w:val="00E55176"/>
    <w:rsid w:val="00E56AF4"/>
    <w:rsid w:val="00E6504C"/>
    <w:rsid w:val="00E75F86"/>
    <w:rsid w:val="00E809B6"/>
    <w:rsid w:val="00E90E7B"/>
    <w:rsid w:val="00E93433"/>
    <w:rsid w:val="00EA30DA"/>
    <w:rsid w:val="00EE4400"/>
    <w:rsid w:val="00EE556F"/>
    <w:rsid w:val="00EE566D"/>
    <w:rsid w:val="00F24C6F"/>
    <w:rsid w:val="00F437D4"/>
    <w:rsid w:val="00F57203"/>
    <w:rsid w:val="00F60D21"/>
    <w:rsid w:val="00F82A28"/>
    <w:rsid w:val="00F9225B"/>
    <w:rsid w:val="00F93544"/>
    <w:rsid w:val="00F93BD0"/>
    <w:rsid w:val="00F95DE0"/>
    <w:rsid w:val="00FB05B8"/>
    <w:rsid w:val="00FB5134"/>
    <w:rsid w:val="00FB76B5"/>
    <w:rsid w:val="00FC022B"/>
    <w:rsid w:val="00FC5851"/>
    <w:rsid w:val="00FD5A71"/>
    <w:rsid w:val="00FE3A86"/>
    <w:rsid w:val="00FF04FB"/>
    <w:rsid w:val="01190754"/>
    <w:rsid w:val="01411BDE"/>
    <w:rsid w:val="014F743E"/>
    <w:rsid w:val="0160739F"/>
    <w:rsid w:val="0169219B"/>
    <w:rsid w:val="01AA5AC3"/>
    <w:rsid w:val="01C85711"/>
    <w:rsid w:val="0222460E"/>
    <w:rsid w:val="02285366"/>
    <w:rsid w:val="02406968"/>
    <w:rsid w:val="0265089F"/>
    <w:rsid w:val="027C5AE7"/>
    <w:rsid w:val="02D72CED"/>
    <w:rsid w:val="03531CCD"/>
    <w:rsid w:val="037E5F1D"/>
    <w:rsid w:val="03CC7163"/>
    <w:rsid w:val="03DA0031"/>
    <w:rsid w:val="03EC44F3"/>
    <w:rsid w:val="03FD70A9"/>
    <w:rsid w:val="043B2C3A"/>
    <w:rsid w:val="0452115D"/>
    <w:rsid w:val="04815BD5"/>
    <w:rsid w:val="05097677"/>
    <w:rsid w:val="05CD7A12"/>
    <w:rsid w:val="060825F0"/>
    <w:rsid w:val="063A6AB2"/>
    <w:rsid w:val="063E3381"/>
    <w:rsid w:val="0643722A"/>
    <w:rsid w:val="065E21CA"/>
    <w:rsid w:val="06E8512E"/>
    <w:rsid w:val="06E97EA9"/>
    <w:rsid w:val="071E1426"/>
    <w:rsid w:val="07594DF7"/>
    <w:rsid w:val="075C56E6"/>
    <w:rsid w:val="077477A9"/>
    <w:rsid w:val="077949DE"/>
    <w:rsid w:val="07B34C51"/>
    <w:rsid w:val="080201B4"/>
    <w:rsid w:val="08207909"/>
    <w:rsid w:val="088439AF"/>
    <w:rsid w:val="08D031DD"/>
    <w:rsid w:val="08E30F54"/>
    <w:rsid w:val="090D75BC"/>
    <w:rsid w:val="0915429C"/>
    <w:rsid w:val="09213420"/>
    <w:rsid w:val="09383344"/>
    <w:rsid w:val="098E615B"/>
    <w:rsid w:val="09CD1DDE"/>
    <w:rsid w:val="09D23368"/>
    <w:rsid w:val="09E03258"/>
    <w:rsid w:val="09F407D8"/>
    <w:rsid w:val="0A191883"/>
    <w:rsid w:val="0A1E26CD"/>
    <w:rsid w:val="0A1F0C00"/>
    <w:rsid w:val="0A2F3C47"/>
    <w:rsid w:val="0A4E1AEA"/>
    <w:rsid w:val="0A617FB0"/>
    <w:rsid w:val="0A903954"/>
    <w:rsid w:val="0AE05687"/>
    <w:rsid w:val="0AE77AF1"/>
    <w:rsid w:val="0AF4222B"/>
    <w:rsid w:val="0AF7325D"/>
    <w:rsid w:val="0B091EC4"/>
    <w:rsid w:val="0B1A11A3"/>
    <w:rsid w:val="0B4F32CB"/>
    <w:rsid w:val="0B720DAD"/>
    <w:rsid w:val="0BCD4F1D"/>
    <w:rsid w:val="0BE71D4B"/>
    <w:rsid w:val="0BEC7BC1"/>
    <w:rsid w:val="0BED349F"/>
    <w:rsid w:val="0C190FDA"/>
    <w:rsid w:val="0C1E1F83"/>
    <w:rsid w:val="0C304BB0"/>
    <w:rsid w:val="0C597747"/>
    <w:rsid w:val="0C5A6A4B"/>
    <w:rsid w:val="0C5B5F56"/>
    <w:rsid w:val="0CBB7325"/>
    <w:rsid w:val="0D585594"/>
    <w:rsid w:val="0D7C2323"/>
    <w:rsid w:val="0D8F357F"/>
    <w:rsid w:val="0DDC3C40"/>
    <w:rsid w:val="0DE1644D"/>
    <w:rsid w:val="0DE407D7"/>
    <w:rsid w:val="0E0D73AC"/>
    <w:rsid w:val="0E202DD1"/>
    <w:rsid w:val="0E341CF7"/>
    <w:rsid w:val="0E511891"/>
    <w:rsid w:val="0E5A45C9"/>
    <w:rsid w:val="0E8D4346"/>
    <w:rsid w:val="0E9B4A5F"/>
    <w:rsid w:val="0EA0761E"/>
    <w:rsid w:val="0EA63A7E"/>
    <w:rsid w:val="0F260AEC"/>
    <w:rsid w:val="0F313772"/>
    <w:rsid w:val="0F443A6F"/>
    <w:rsid w:val="0F775EC7"/>
    <w:rsid w:val="0FA46C7E"/>
    <w:rsid w:val="0FC65547"/>
    <w:rsid w:val="0FCC34FC"/>
    <w:rsid w:val="0FED4320"/>
    <w:rsid w:val="102E66FD"/>
    <w:rsid w:val="106B4098"/>
    <w:rsid w:val="10784C3F"/>
    <w:rsid w:val="10E16DBA"/>
    <w:rsid w:val="10FE7208"/>
    <w:rsid w:val="111D5572"/>
    <w:rsid w:val="115616DD"/>
    <w:rsid w:val="11897E1C"/>
    <w:rsid w:val="11D71DB8"/>
    <w:rsid w:val="11EC5DE2"/>
    <w:rsid w:val="120E3A6C"/>
    <w:rsid w:val="1257313B"/>
    <w:rsid w:val="12601F0B"/>
    <w:rsid w:val="1278143C"/>
    <w:rsid w:val="127B7321"/>
    <w:rsid w:val="12D035A3"/>
    <w:rsid w:val="132E7FA6"/>
    <w:rsid w:val="133B537F"/>
    <w:rsid w:val="13AC5DE2"/>
    <w:rsid w:val="13D7782C"/>
    <w:rsid w:val="13E17A11"/>
    <w:rsid w:val="13E9383C"/>
    <w:rsid w:val="1469705C"/>
    <w:rsid w:val="14EF7838"/>
    <w:rsid w:val="14F77C11"/>
    <w:rsid w:val="15131DF0"/>
    <w:rsid w:val="151C638B"/>
    <w:rsid w:val="15226909"/>
    <w:rsid w:val="15274957"/>
    <w:rsid w:val="153A1DE9"/>
    <w:rsid w:val="154F5D4D"/>
    <w:rsid w:val="15704F1A"/>
    <w:rsid w:val="1594125D"/>
    <w:rsid w:val="1594320F"/>
    <w:rsid w:val="15A128FE"/>
    <w:rsid w:val="15CE6221"/>
    <w:rsid w:val="15EC5170"/>
    <w:rsid w:val="162A797C"/>
    <w:rsid w:val="16393AEE"/>
    <w:rsid w:val="165C1EC5"/>
    <w:rsid w:val="16F35772"/>
    <w:rsid w:val="17B7334E"/>
    <w:rsid w:val="17CD2403"/>
    <w:rsid w:val="17E937AE"/>
    <w:rsid w:val="181D48C4"/>
    <w:rsid w:val="18255DD6"/>
    <w:rsid w:val="185B13AE"/>
    <w:rsid w:val="186F3DBA"/>
    <w:rsid w:val="188C0ABD"/>
    <w:rsid w:val="18C70DD4"/>
    <w:rsid w:val="18EB15EF"/>
    <w:rsid w:val="19234752"/>
    <w:rsid w:val="192B0B9A"/>
    <w:rsid w:val="192E320B"/>
    <w:rsid w:val="197856BC"/>
    <w:rsid w:val="19AA096B"/>
    <w:rsid w:val="19DC3CF4"/>
    <w:rsid w:val="1A4F0E14"/>
    <w:rsid w:val="1A581A52"/>
    <w:rsid w:val="1A6105B6"/>
    <w:rsid w:val="1A640A05"/>
    <w:rsid w:val="1A707545"/>
    <w:rsid w:val="1A7B0FF9"/>
    <w:rsid w:val="1ACE64AB"/>
    <w:rsid w:val="1AEC2C50"/>
    <w:rsid w:val="1B057A41"/>
    <w:rsid w:val="1B367D8E"/>
    <w:rsid w:val="1B7109B6"/>
    <w:rsid w:val="1BCA4870"/>
    <w:rsid w:val="1C0D3A85"/>
    <w:rsid w:val="1C93612C"/>
    <w:rsid w:val="1CAE2196"/>
    <w:rsid w:val="1D323688"/>
    <w:rsid w:val="1D947CDB"/>
    <w:rsid w:val="1DA40A00"/>
    <w:rsid w:val="1DCA63C8"/>
    <w:rsid w:val="1DCE5AB6"/>
    <w:rsid w:val="1DEB67E3"/>
    <w:rsid w:val="1DF65BA3"/>
    <w:rsid w:val="1E8C2CD6"/>
    <w:rsid w:val="1EB35F93"/>
    <w:rsid w:val="1EC46953"/>
    <w:rsid w:val="1F352739"/>
    <w:rsid w:val="1F404C92"/>
    <w:rsid w:val="1F4A2C87"/>
    <w:rsid w:val="1F732CC3"/>
    <w:rsid w:val="1FDC3875"/>
    <w:rsid w:val="1FF12EDE"/>
    <w:rsid w:val="1FF64AF5"/>
    <w:rsid w:val="20060581"/>
    <w:rsid w:val="201D4D0E"/>
    <w:rsid w:val="20615153"/>
    <w:rsid w:val="20784604"/>
    <w:rsid w:val="209A2193"/>
    <w:rsid w:val="20A27992"/>
    <w:rsid w:val="20AD33C0"/>
    <w:rsid w:val="20B014F7"/>
    <w:rsid w:val="20B047F8"/>
    <w:rsid w:val="20BB13C9"/>
    <w:rsid w:val="21344B4B"/>
    <w:rsid w:val="21357098"/>
    <w:rsid w:val="21B17A58"/>
    <w:rsid w:val="21B3797C"/>
    <w:rsid w:val="21D2336C"/>
    <w:rsid w:val="21DD2940"/>
    <w:rsid w:val="21DF1099"/>
    <w:rsid w:val="22264BFB"/>
    <w:rsid w:val="228D60F6"/>
    <w:rsid w:val="22933B81"/>
    <w:rsid w:val="22F23976"/>
    <w:rsid w:val="23021452"/>
    <w:rsid w:val="23105FD7"/>
    <w:rsid w:val="232F0410"/>
    <w:rsid w:val="233A7A0A"/>
    <w:rsid w:val="238A6703"/>
    <w:rsid w:val="23A248B4"/>
    <w:rsid w:val="23AD4F2E"/>
    <w:rsid w:val="23DB7500"/>
    <w:rsid w:val="23E0752E"/>
    <w:rsid w:val="240235FB"/>
    <w:rsid w:val="241033B9"/>
    <w:rsid w:val="24262A62"/>
    <w:rsid w:val="24633129"/>
    <w:rsid w:val="247C476A"/>
    <w:rsid w:val="24925309"/>
    <w:rsid w:val="24C70A7D"/>
    <w:rsid w:val="24E207E3"/>
    <w:rsid w:val="24E649A4"/>
    <w:rsid w:val="24F401BB"/>
    <w:rsid w:val="24F63A00"/>
    <w:rsid w:val="255741FF"/>
    <w:rsid w:val="25615BEB"/>
    <w:rsid w:val="25660E2E"/>
    <w:rsid w:val="258D7E8D"/>
    <w:rsid w:val="25E261A6"/>
    <w:rsid w:val="26046103"/>
    <w:rsid w:val="261F69B7"/>
    <w:rsid w:val="274B300B"/>
    <w:rsid w:val="27F90679"/>
    <w:rsid w:val="281618C5"/>
    <w:rsid w:val="28247C87"/>
    <w:rsid w:val="28376E94"/>
    <w:rsid w:val="285828E5"/>
    <w:rsid w:val="28653502"/>
    <w:rsid w:val="287309F7"/>
    <w:rsid w:val="28746B4A"/>
    <w:rsid w:val="28AC2E0B"/>
    <w:rsid w:val="28CA0FE2"/>
    <w:rsid w:val="28D36E04"/>
    <w:rsid w:val="291558A3"/>
    <w:rsid w:val="29261924"/>
    <w:rsid w:val="29487BC6"/>
    <w:rsid w:val="29551ED8"/>
    <w:rsid w:val="29831A2D"/>
    <w:rsid w:val="298C2759"/>
    <w:rsid w:val="29911ECA"/>
    <w:rsid w:val="29A7505E"/>
    <w:rsid w:val="29FA6023"/>
    <w:rsid w:val="2A337514"/>
    <w:rsid w:val="2A753821"/>
    <w:rsid w:val="2A9F5C2C"/>
    <w:rsid w:val="2AD33799"/>
    <w:rsid w:val="2AEA6AF9"/>
    <w:rsid w:val="2AED2707"/>
    <w:rsid w:val="2B220DAD"/>
    <w:rsid w:val="2B4F3BB5"/>
    <w:rsid w:val="2B5D54E7"/>
    <w:rsid w:val="2B5E29B1"/>
    <w:rsid w:val="2C2529BD"/>
    <w:rsid w:val="2C82694E"/>
    <w:rsid w:val="2CCE5F5D"/>
    <w:rsid w:val="2D01320C"/>
    <w:rsid w:val="2D21246F"/>
    <w:rsid w:val="2D3A646F"/>
    <w:rsid w:val="2D5B7474"/>
    <w:rsid w:val="2D7B6A45"/>
    <w:rsid w:val="2DA83E89"/>
    <w:rsid w:val="2DAF04EC"/>
    <w:rsid w:val="2DF41F4C"/>
    <w:rsid w:val="2E177979"/>
    <w:rsid w:val="2E331C8F"/>
    <w:rsid w:val="2E3C12F8"/>
    <w:rsid w:val="2E4A7695"/>
    <w:rsid w:val="2E61515A"/>
    <w:rsid w:val="2E6F28BA"/>
    <w:rsid w:val="2E7D68FA"/>
    <w:rsid w:val="2EE26B9D"/>
    <w:rsid w:val="2EEF239B"/>
    <w:rsid w:val="2EF07051"/>
    <w:rsid w:val="2F131B64"/>
    <w:rsid w:val="2F1A79B2"/>
    <w:rsid w:val="2F7443E5"/>
    <w:rsid w:val="2F9031C9"/>
    <w:rsid w:val="2FCC70D8"/>
    <w:rsid w:val="2FDF60C1"/>
    <w:rsid w:val="302C1E05"/>
    <w:rsid w:val="307F76B3"/>
    <w:rsid w:val="309F4A50"/>
    <w:rsid w:val="30A97775"/>
    <w:rsid w:val="30B85EDF"/>
    <w:rsid w:val="30E273D5"/>
    <w:rsid w:val="311F1E9F"/>
    <w:rsid w:val="31871F90"/>
    <w:rsid w:val="31A3609D"/>
    <w:rsid w:val="31F8192B"/>
    <w:rsid w:val="32114431"/>
    <w:rsid w:val="322D2CB4"/>
    <w:rsid w:val="32933866"/>
    <w:rsid w:val="32983192"/>
    <w:rsid w:val="32D108F1"/>
    <w:rsid w:val="33A73A6E"/>
    <w:rsid w:val="33A91A06"/>
    <w:rsid w:val="33BF1313"/>
    <w:rsid w:val="33D608B3"/>
    <w:rsid w:val="33EE45A0"/>
    <w:rsid w:val="341A178E"/>
    <w:rsid w:val="34360EE0"/>
    <w:rsid w:val="34520027"/>
    <w:rsid w:val="34524EB7"/>
    <w:rsid w:val="3455668C"/>
    <w:rsid w:val="345C23B7"/>
    <w:rsid w:val="348859FE"/>
    <w:rsid w:val="34DA4A3E"/>
    <w:rsid w:val="34E15892"/>
    <w:rsid w:val="3511435E"/>
    <w:rsid w:val="355431A7"/>
    <w:rsid w:val="357525C9"/>
    <w:rsid w:val="35933AE6"/>
    <w:rsid w:val="35A858FB"/>
    <w:rsid w:val="35AB6C71"/>
    <w:rsid w:val="35C25411"/>
    <w:rsid w:val="35D25DC6"/>
    <w:rsid w:val="35ED61F6"/>
    <w:rsid w:val="35FD1A71"/>
    <w:rsid w:val="36137A13"/>
    <w:rsid w:val="368E7BB6"/>
    <w:rsid w:val="36912557"/>
    <w:rsid w:val="36A408E8"/>
    <w:rsid w:val="36AD40BA"/>
    <w:rsid w:val="3737610F"/>
    <w:rsid w:val="374D5432"/>
    <w:rsid w:val="37507B97"/>
    <w:rsid w:val="376800F7"/>
    <w:rsid w:val="37970C53"/>
    <w:rsid w:val="379E07AD"/>
    <w:rsid w:val="37DE233C"/>
    <w:rsid w:val="387C5A61"/>
    <w:rsid w:val="38D3595B"/>
    <w:rsid w:val="397321E5"/>
    <w:rsid w:val="399120D1"/>
    <w:rsid w:val="39C24964"/>
    <w:rsid w:val="3A0E62A5"/>
    <w:rsid w:val="3A170417"/>
    <w:rsid w:val="3A657A4A"/>
    <w:rsid w:val="3A7F469D"/>
    <w:rsid w:val="3A9C47F5"/>
    <w:rsid w:val="3B4A7624"/>
    <w:rsid w:val="3B5A4EC8"/>
    <w:rsid w:val="3BCC7916"/>
    <w:rsid w:val="3C272250"/>
    <w:rsid w:val="3C5E58C4"/>
    <w:rsid w:val="3C720321"/>
    <w:rsid w:val="3C7A2CE2"/>
    <w:rsid w:val="3C7E7DD7"/>
    <w:rsid w:val="3CB4373A"/>
    <w:rsid w:val="3CEB7B3A"/>
    <w:rsid w:val="3CF303F6"/>
    <w:rsid w:val="3D2C717E"/>
    <w:rsid w:val="3DC24A10"/>
    <w:rsid w:val="3DC4107E"/>
    <w:rsid w:val="3E04466D"/>
    <w:rsid w:val="3E0502C1"/>
    <w:rsid w:val="3E2434B7"/>
    <w:rsid w:val="3E3D5C2B"/>
    <w:rsid w:val="3E6F5648"/>
    <w:rsid w:val="3EBA4C2E"/>
    <w:rsid w:val="3ED26BE7"/>
    <w:rsid w:val="3F131871"/>
    <w:rsid w:val="3F61072F"/>
    <w:rsid w:val="3F695B2B"/>
    <w:rsid w:val="3F796BD4"/>
    <w:rsid w:val="3F8A0ED3"/>
    <w:rsid w:val="3FA6594E"/>
    <w:rsid w:val="3FCE5511"/>
    <w:rsid w:val="3FE14580"/>
    <w:rsid w:val="400E1E38"/>
    <w:rsid w:val="402463CB"/>
    <w:rsid w:val="40524664"/>
    <w:rsid w:val="4085534C"/>
    <w:rsid w:val="408A0A24"/>
    <w:rsid w:val="409A53EB"/>
    <w:rsid w:val="40B777D3"/>
    <w:rsid w:val="40FF4699"/>
    <w:rsid w:val="412B1E92"/>
    <w:rsid w:val="413A6B31"/>
    <w:rsid w:val="4140798F"/>
    <w:rsid w:val="414E1C42"/>
    <w:rsid w:val="41517023"/>
    <w:rsid w:val="416E066D"/>
    <w:rsid w:val="41815E1D"/>
    <w:rsid w:val="42155935"/>
    <w:rsid w:val="423E4ED9"/>
    <w:rsid w:val="426E267A"/>
    <w:rsid w:val="431916DE"/>
    <w:rsid w:val="43375BBF"/>
    <w:rsid w:val="433C5FBA"/>
    <w:rsid w:val="43960FD8"/>
    <w:rsid w:val="43C034C1"/>
    <w:rsid w:val="43D50FEC"/>
    <w:rsid w:val="43D910F0"/>
    <w:rsid w:val="43F62BC1"/>
    <w:rsid w:val="444F250A"/>
    <w:rsid w:val="449C66AF"/>
    <w:rsid w:val="44C96627"/>
    <w:rsid w:val="44CB088F"/>
    <w:rsid w:val="44F57E99"/>
    <w:rsid w:val="45065B38"/>
    <w:rsid w:val="45150771"/>
    <w:rsid w:val="454476BE"/>
    <w:rsid w:val="454756A0"/>
    <w:rsid w:val="45847093"/>
    <w:rsid w:val="45996770"/>
    <w:rsid w:val="45B97A14"/>
    <w:rsid w:val="461B7A3A"/>
    <w:rsid w:val="46274B13"/>
    <w:rsid w:val="4653609C"/>
    <w:rsid w:val="46CC256C"/>
    <w:rsid w:val="46E36A7D"/>
    <w:rsid w:val="47045DC3"/>
    <w:rsid w:val="476B536B"/>
    <w:rsid w:val="477D0A2F"/>
    <w:rsid w:val="47A82FFD"/>
    <w:rsid w:val="47B701F5"/>
    <w:rsid w:val="47EB56E1"/>
    <w:rsid w:val="4849005D"/>
    <w:rsid w:val="48545ACA"/>
    <w:rsid w:val="48654977"/>
    <w:rsid w:val="488C6E75"/>
    <w:rsid w:val="48AC14BF"/>
    <w:rsid w:val="48C321F4"/>
    <w:rsid w:val="48D151DA"/>
    <w:rsid w:val="48DE5B50"/>
    <w:rsid w:val="48FF0DFE"/>
    <w:rsid w:val="494220CF"/>
    <w:rsid w:val="49AD72D9"/>
    <w:rsid w:val="49B64523"/>
    <w:rsid w:val="49BE2322"/>
    <w:rsid w:val="49BF2265"/>
    <w:rsid w:val="49CA4591"/>
    <w:rsid w:val="4A2254B5"/>
    <w:rsid w:val="4A7D48B5"/>
    <w:rsid w:val="4AE2074A"/>
    <w:rsid w:val="4AE35FAB"/>
    <w:rsid w:val="4B044DB0"/>
    <w:rsid w:val="4BEA239E"/>
    <w:rsid w:val="4C2131E6"/>
    <w:rsid w:val="4C2E7F1D"/>
    <w:rsid w:val="4C7B3A6C"/>
    <w:rsid w:val="4C8009A3"/>
    <w:rsid w:val="4CA5688D"/>
    <w:rsid w:val="4D0647E6"/>
    <w:rsid w:val="4D3D6ABF"/>
    <w:rsid w:val="4D5B71EC"/>
    <w:rsid w:val="4D895B83"/>
    <w:rsid w:val="4D8F023C"/>
    <w:rsid w:val="4DC14920"/>
    <w:rsid w:val="4E111275"/>
    <w:rsid w:val="4E2D74E1"/>
    <w:rsid w:val="4E824F9D"/>
    <w:rsid w:val="4EBB58DF"/>
    <w:rsid w:val="4ED87E58"/>
    <w:rsid w:val="4EDD08E9"/>
    <w:rsid w:val="4EE8267A"/>
    <w:rsid w:val="4EFC718B"/>
    <w:rsid w:val="4F0768BB"/>
    <w:rsid w:val="4F114B96"/>
    <w:rsid w:val="4F2308EF"/>
    <w:rsid w:val="4F294268"/>
    <w:rsid w:val="4F346A97"/>
    <w:rsid w:val="4F480852"/>
    <w:rsid w:val="4FDA7BA2"/>
    <w:rsid w:val="5005280C"/>
    <w:rsid w:val="5019752A"/>
    <w:rsid w:val="5034385D"/>
    <w:rsid w:val="5075485B"/>
    <w:rsid w:val="508839C8"/>
    <w:rsid w:val="50E13B71"/>
    <w:rsid w:val="51010F22"/>
    <w:rsid w:val="51104F77"/>
    <w:rsid w:val="519B3F7B"/>
    <w:rsid w:val="51A96058"/>
    <w:rsid w:val="51B313CC"/>
    <w:rsid w:val="51BB3C0C"/>
    <w:rsid w:val="51E66290"/>
    <w:rsid w:val="52647CD1"/>
    <w:rsid w:val="526F3518"/>
    <w:rsid w:val="52CB3657"/>
    <w:rsid w:val="532A692B"/>
    <w:rsid w:val="533A041D"/>
    <w:rsid w:val="53AE7E1E"/>
    <w:rsid w:val="53F1227E"/>
    <w:rsid w:val="5423436B"/>
    <w:rsid w:val="54300A57"/>
    <w:rsid w:val="548C116A"/>
    <w:rsid w:val="54AB1B48"/>
    <w:rsid w:val="54F31C70"/>
    <w:rsid w:val="55427F71"/>
    <w:rsid w:val="557F73BB"/>
    <w:rsid w:val="55831B3D"/>
    <w:rsid w:val="55C256B9"/>
    <w:rsid w:val="55EC0C5F"/>
    <w:rsid w:val="55FD46C1"/>
    <w:rsid w:val="565F67C7"/>
    <w:rsid w:val="56A74288"/>
    <w:rsid w:val="56E055F3"/>
    <w:rsid w:val="5711697C"/>
    <w:rsid w:val="57B15E3E"/>
    <w:rsid w:val="582F3C6B"/>
    <w:rsid w:val="583C7C54"/>
    <w:rsid w:val="58405AF6"/>
    <w:rsid w:val="58454E73"/>
    <w:rsid w:val="58670BFF"/>
    <w:rsid w:val="588474F5"/>
    <w:rsid w:val="58F41895"/>
    <w:rsid w:val="59537CF9"/>
    <w:rsid w:val="59645864"/>
    <w:rsid w:val="596B1600"/>
    <w:rsid w:val="597F2EC3"/>
    <w:rsid w:val="59891419"/>
    <w:rsid w:val="59B43932"/>
    <w:rsid w:val="59E143BB"/>
    <w:rsid w:val="5A2550C5"/>
    <w:rsid w:val="5A2E718C"/>
    <w:rsid w:val="5A323850"/>
    <w:rsid w:val="5A4254B1"/>
    <w:rsid w:val="5AB604F1"/>
    <w:rsid w:val="5ADA30D5"/>
    <w:rsid w:val="5B0046C9"/>
    <w:rsid w:val="5B33720F"/>
    <w:rsid w:val="5B355FC0"/>
    <w:rsid w:val="5BD20AD2"/>
    <w:rsid w:val="5C873088"/>
    <w:rsid w:val="5D9233EA"/>
    <w:rsid w:val="5DBF0E47"/>
    <w:rsid w:val="5DC45DBE"/>
    <w:rsid w:val="5DC5615F"/>
    <w:rsid w:val="5E1A1C2C"/>
    <w:rsid w:val="5E320D32"/>
    <w:rsid w:val="5E3A23A6"/>
    <w:rsid w:val="5E40400B"/>
    <w:rsid w:val="5E426981"/>
    <w:rsid w:val="5E7F0481"/>
    <w:rsid w:val="5E8B2D52"/>
    <w:rsid w:val="5EA722F0"/>
    <w:rsid w:val="5F6D0C22"/>
    <w:rsid w:val="5FC721CC"/>
    <w:rsid w:val="5FF330FC"/>
    <w:rsid w:val="601C418A"/>
    <w:rsid w:val="60312EBD"/>
    <w:rsid w:val="60496D39"/>
    <w:rsid w:val="6092785E"/>
    <w:rsid w:val="60A14E0E"/>
    <w:rsid w:val="60BB6BBF"/>
    <w:rsid w:val="61403A29"/>
    <w:rsid w:val="61437CFA"/>
    <w:rsid w:val="623E0A93"/>
    <w:rsid w:val="6240174B"/>
    <w:rsid w:val="62490A5A"/>
    <w:rsid w:val="626605A8"/>
    <w:rsid w:val="627737C8"/>
    <w:rsid w:val="629457A8"/>
    <w:rsid w:val="62A43AF9"/>
    <w:rsid w:val="63354556"/>
    <w:rsid w:val="63413C8E"/>
    <w:rsid w:val="63710425"/>
    <w:rsid w:val="637512DF"/>
    <w:rsid w:val="637E23A2"/>
    <w:rsid w:val="638920E0"/>
    <w:rsid w:val="63A177C9"/>
    <w:rsid w:val="63C4679E"/>
    <w:rsid w:val="642379C5"/>
    <w:rsid w:val="642E15AE"/>
    <w:rsid w:val="64531F05"/>
    <w:rsid w:val="64D34B2D"/>
    <w:rsid w:val="651376B7"/>
    <w:rsid w:val="653A02CF"/>
    <w:rsid w:val="65560103"/>
    <w:rsid w:val="655B7AE0"/>
    <w:rsid w:val="656649C4"/>
    <w:rsid w:val="656B545F"/>
    <w:rsid w:val="65D67393"/>
    <w:rsid w:val="65D93B1D"/>
    <w:rsid w:val="663650FC"/>
    <w:rsid w:val="663C25E1"/>
    <w:rsid w:val="666F013A"/>
    <w:rsid w:val="66BC0E05"/>
    <w:rsid w:val="67230D95"/>
    <w:rsid w:val="672A3BCD"/>
    <w:rsid w:val="677537A8"/>
    <w:rsid w:val="68216299"/>
    <w:rsid w:val="686660AE"/>
    <w:rsid w:val="688F2809"/>
    <w:rsid w:val="68AE41F3"/>
    <w:rsid w:val="692861FC"/>
    <w:rsid w:val="693037E7"/>
    <w:rsid w:val="695A5B5C"/>
    <w:rsid w:val="697F74A7"/>
    <w:rsid w:val="698C0ED7"/>
    <w:rsid w:val="699B2B73"/>
    <w:rsid w:val="69A770EA"/>
    <w:rsid w:val="6A021E17"/>
    <w:rsid w:val="6A4F71C1"/>
    <w:rsid w:val="6A563F89"/>
    <w:rsid w:val="6A6C2EB7"/>
    <w:rsid w:val="6A8B66E0"/>
    <w:rsid w:val="6AA80864"/>
    <w:rsid w:val="6AA90889"/>
    <w:rsid w:val="6AB9328C"/>
    <w:rsid w:val="6AE0315E"/>
    <w:rsid w:val="6AED15E9"/>
    <w:rsid w:val="6AF0115C"/>
    <w:rsid w:val="6B156E29"/>
    <w:rsid w:val="6B3B6FA0"/>
    <w:rsid w:val="6B5E436A"/>
    <w:rsid w:val="6B7D189E"/>
    <w:rsid w:val="6BB74F29"/>
    <w:rsid w:val="6BBD5648"/>
    <w:rsid w:val="6C080D3A"/>
    <w:rsid w:val="6C2B6830"/>
    <w:rsid w:val="6C912E54"/>
    <w:rsid w:val="6CAB2DE1"/>
    <w:rsid w:val="6D0A3E25"/>
    <w:rsid w:val="6D0E73EA"/>
    <w:rsid w:val="6D3B5643"/>
    <w:rsid w:val="6D6546FD"/>
    <w:rsid w:val="6D953261"/>
    <w:rsid w:val="6DA84EE1"/>
    <w:rsid w:val="6DF056DD"/>
    <w:rsid w:val="6E00353C"/>
    <w:rsid w:val="6E1B5725"/>
    <w:rsid w:val="6E7B1D76"/>
    <w:rsid w:val="6F011566"/>
    <w:rsid w:val="6F255023"/>
    <w:rsid w:val="6F6E592F"/>
    <w:rsid w:val="6FC3037C"/>
    <w:rsid w:val="6FCB6592"/>
    <w:rsid w:val="70A402CF"/>
    <w:rsid w:val="71490590"/>
    <w:rsid w:val="71505FE7"/>
    <w:rsid w:val="7165302F"/>
    <w:rsid w:val="717F0A9B"/>
    <w:rsid w:val="719666A3"/>
    <w:rsid w:val="723E5444"/>
    <w:rsid w:val="72472BE1"/>
    <w:rsid w:val="72F56F08"/>
    <w:rsid w:val="72FD347C"/>
    <w:rsid w:val="73004BD7"/>
    <w:rsid w:val="731C5C06"/>
    <w:rsid w:val="73211019"/>
    <w:rsid w:val="732A4551"/>
    <w:rsid w:val="73462E37"/>
    <w:rsid w:val="7365736C"/>
    <w:rsid w:val="738439C5"/>
    <w:rsid w:val="73C96D17"/>
    <w:rsid w:val="73EE6EFF"/>
    <w:rsid w:val="73F27731"/>
    <w:rsid w:val="74687F9F"/>
    <w:rsid w:val="74842034"/>
    <w:rsid w:val="74C374EF"/>
    <w:rsid w:val="750760F8"/>
    <w:rsid w:val="75162487"/>
    <w:rsid w:val="755C74C5"/>
    <w:rsid w:val="756B3D78"/>
    <w:rsid w:val="761210AA"/>
    <w:rsid w:val="765B3933"/>
    <w:rsid w:val="767C5C18"/>
    <w:rsid w:val="769D0054"/>
    <w:rsid w:val="76C11445"/>
    <w:rsid w:val="773C6865"/>
    <w:rsid w:val="774D5183"/>
    <w:rsid w:val="776518C0"/>
    <w:rsid w:val="776B6348"/>
    <w:rsid w:val="77992325"/>
    <w:rsid w:val="77A05FF6"/>
    <w:rsid w:val="77DF3816"/>
    <w:rsid w:val="77EA63A3"/>
    <w:rsid w:val="78503AFC"/>
    <w:rsid w:val="78797974"/>
    <w:rsid w:val="78F75476"/>
    <w:rsid w:val="7945193E"/>
    <w:rsid w:val="797B2BE8"/>
    <w:rsid w:val="799F5CAA"/>
    <w:rsid w:val="799F6619"/>
    <w:rsid w:val="79AA2C7D"/>
    <w:rsid w:val="79C55BAD"/>
    <w:rsid w:val="79D67130"/>
    <w:rsid w:val="79D70E4C"/>
    <w:rsid w:val="79EB0AE8"/>
    <w:rsid w:val="7A44619D"/>
    <w:rsid w:val="7AC13FB3"/>
    <w:rsid w:val="7B127C9C"/>
    <w:rsid w:val="7C07753F"/>
    <w:rsid w:val="7C213321"/>
    <w:rsid w:val="7C2408DA"/>
    <w:rsid w:val="7C584AB6"/>
    <w:rsid w:val="7C8901FC"/>
    <w:rsid w:val="7CB81C44"/>
    <w:rsid w:val="7CE10A11"/>
    <w:rsid w:val="7CEC5144"/>
    <w:rsid w:val="7D1129CB"/>
    <w:rsid w:val="7D262131"/>
    <w:rsid w:val="7D916B14"/>
    <w:rsid w:val="7DE24624"/>
    <w:rsid w:val="7DF1189C"/>
    <w:rsid w:val="7DF15E83"/>
    <w:rsid w:val="7DFA3191"/>
    <w:rsid w:val="7E387F4E"/>
    <w:rsid w:val="7E3D449D"/>
    <w:rsid w:val="7E41747D"/>
    <w:rsid w:val="7E525F40"/>
    <w:rsid w:val="7EAE7C4B"/>
    <w:rsid w:val="7EB47782"/>
    <w:rsid w:val="7EDE44E4"/>
    <w:rsid w:val="7EE81588"/>
    <w:rsid w:val="7EFC0521"/>
    <w:rsid w:val="7F082B8F"/>
    <w:rsid w:val="7F0A2441"/>
    <w:rsid w:val="7F2732D8"/>
    <w:rsid w:val="7F755508"/>
    <w:rsid w:val="7F91692E"/>
    <w:rsid w:val="7FAF78C9"/>
    <w:rsid w:val="7FBB2973"/>
    <w:rsid w:val="7FFF7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toc 3"/>
    <w:basedOn w:val="1"/>
    <w:next w:val="1"/>
    <w:qFormat/>
    <w:uiPriority w:val="0"/>
    <w:pPr>
      <w:ind w:left="840" w:leftChars="400"/>
    </w:p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r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4"/>
    <w:semiHidden/>
    <w:qFormat/>
    <w:uiPriority w:val="99"/>
    <w:rPr>
      <w:sz w:val="18"/>
      <w:szCs w:val="18"/>
    </w:rPr>
  </w:style>
  <w:style w:type="paragraph" w:customStyle="1" w:styleId="12">
    <w:name w:val="列出段落1"/>
    <w:basedOn w:val="1"/>
    <w:qFormat/>
    <w:uiPriority w:val="0"/>
    <w:pPr>
      <w:ind w:firstLine="420" w:firstLineChars="200"/>
    </w:pPr>
    <w:rPr>
      <w:rFonts w:ascii="Calibri" w:hAnsi="Calibri" w:eastAsia="宋体" w:cs="Times New Roman"/>
    </w:rPr>
  </w:style>
  <w:style w:type="paragraph" w:styleId="1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13</Pages>
  <Words>803</Words>
  <Characters>4583</Characters>
  <Lines>38</Lines>
  <Paragraphs>10</Paragraphs>
  <TotalTime>0</TotalTime>
  <ScaleCrop>false</ScaleCrop>
  <LinksUpToDate>false</LinksUpToDate>
  <CharactersWithSpaces>5376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2018-08-21T13:39:00Z</dcterms:created>
  <dc:creator>先红</dc:creator>
  <cp:lastModifiedBy>Administrator</cp:lastModifiedBy>
  <cp:lastPrinted>2019-07-09T04:25:00Z</cp:lastPrinted>
  <dcterms:modified xsi:type="dcterms:W3CDTF">2022-12-05T11:01:30Z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