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rPr>
          <w:rFonts w:ascii="黑体" w:hAnsi="仿宋_GB2312" w:eastAsia="黑体" w:cs="仿宋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察隅县行政审批局</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2022年11月10日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察隅县行政审批局概况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察隅县行政审批局2021年度部门决算明细表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察隅县行政审批局2021年度部门决算数据说明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九、国有资本经营预算财政拨款支出决算情况说明</w:t>
      </w:r>
      <w:r>
        <w:rPr>
          <w:rFonts w:hint="eastAsia" w:ascii="仿宋_GB2312" w:hAnsi="仿宋_GB2312" w:eastAsia="仿宋_GB2312" w:cs="仿宋_GB2312"/>
          <w:sz w:val="32"/>
          <w:szCs w:val="32"/>
        </w:rPr>
        <w:br w:type="textWrapping"/>
      </w: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察隅县行政审批局概况</w:t>
      </w:r>
    </w:p>
    <w:p>
      <w:pPr>
        <w:rPr>
          <w:rFonts w:ascii="黑体" w:hAnsi="仿宋_GB2312" w:eastAsia="黑体" w:cs="仿宋_GB2312"/>
          <w:bCs/>
          <w:sz w:val="32"/>
          <w:szCs w:val="32"/>
        </w:rPr>
      </w:pPr>
    </w:p>
    <w:p>
      <w:pPr>
        <w:widowControl/>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（一）贯彻落实国家、自治区、市、县有关行政审批制度改革的决定和行政审批相关的政策法规，负责</w:t>
      </w:r>
      <w:r>
        <w:rPr>
          <w:rFonts w:hint="eastAsia" w:ascii="仿宋_GB2312" w:eastAsia="仿宋_GB2312"/>
          <w:sz w:val="32"/>
          <w:szCs w:val="32"/>
        </w:rPr>
        <w:t>提出行政审批制度改革方面的意见和建议，为县委、政府科学决策提供依据。</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color w:val="000000"/>
          <w:sz w:val="32"/>
          <w:szCs w:val="32"/>
        </w:rPr>
        <w:t>（二）</w:t>
      </w:r>
      <w:r>
        <w:rPr>
          <w:rFonts w:hint="eastAsia" w:ascii="仿宋_GB2312" w:eastAsia="仿宋_GB2312"/>
          <w:sz w:val="32"/>
          <w:szCs w:val="32"/>
        </w:rPr>
        <w:t>负责推进县“互联网+政务服务”工作，努力构建“一网、一门、一次”工作格局；负责全县行政审批、政务服务体系信息化建设，协同有关部门开展政务服务运行平台建设并负责管理工作。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建立健全行政审批事项有关清单目录管理制度，并监督实施；负责规范县级行政审批和政务服务行为，建立和完善相应工作机制，推进标准化建设；负责对集中审批事项和服务事项进行流程再造，精简审批环节、压缩审批时限、提升服务质量；跟踪督办重大审批服务事项，协调解决集中审批、服务事项办理过程中出现的矛盾和问题。</w:t>
      </w:r>
    </w:p>
    <w:p>
      <w:pPr>
        <w:spacing w:line="560" w:lineRule="exact"/>
        <w:ind w:firstLine="660"/>
        <w:rPr>
          <w:rFonts w:ascii="仿宋_GB2312" w:eastAsia="仿宋_GB2312"/>
          <w:sz w:val="32"/>
          <w:szCs w:val="32"/>
        </w:rPr>
      </w:pPr>
      <w:r>
        <w:rPr>
          <w:rFonts w:hint="eastAsia" w:ascii="仿宋_GB2312" w:eastAsia="仿宋_GB2312"/>
          <w:sz w:val="32"/>
          <w:szCs w:val="32"/>
        </w:rPr>
        <w:t>（四）负责拟定公共资源交易管理办法和制度，并履行县政府授权或委托的涉及公共资源交易工作的综合监管工作。</w:t>
      </w:r>
    </w:p>
    <w:p>
      <w:pPr>
        <w:spacing w:line="560" w:lineRule="exact"/>
        <w:ind w:firstLine="660"/>
        <w:rPr>
          <w:rFonts w:ascii="仿宋_GB2312" w:eastAsia="仿宋_GB2312"/>
          <w:sz w:val="32"/>
          <w:szCs w:val="32"/>
        </w:rPr>
      </w:pPr>
      <w:r>
        <w:rPr>
          <w:rFonts w:hint="eastAsia" w:ascii="仿宋_GB2312" w:eastAsia="仿宋_GB2312"/>
          <w:sz w:val="32"/>
          <w:szCs w:val="32"/>
        </w:rPr>
        <w:t>（五）负责制定政务服务中心窗口工作人员的管理办法、考核方案，并组织实施监督工作；负责组织对窗口工作人员开展审批业务、规范化服务、职业道德、行为准则及工作纪律等方面的培训和教育工作。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（六）负责对政务服务中心窗口的行政审批活动和公共资源等事项的投诉举报的承办、转办和督办工作，配合有关部门查处违法违规违纪问题。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（七）负责指导乡（镇）行政审批和便民服务工作。</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（八）完成县委、政府交办的其他任务。</w:t>
      </w:r>
    </w:p>
    <w:p>
      <w:pPr>
        <w:widowControl/>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二、机构设置  </w:t>
      </w:r>
    </w:p>
    <w:p>
      <w:pPr>
        <w:spacing w:line="560" w:lineRule="exact"/>
        <w:ind w:firstLine="640" w:firstLineChars="200"/>
        <w:rPr>
          <w:rFonts w:eastAsia="仿宋_GB2312"/>
          <w:color w:val="000000"/>
          <w:sz w:val="32"/>
          <w:szCs w:val="32"/>
        </w:rPr>
      </w:pPr>
      <w:r>
        <w:rPr>
          <w:rFonts w:hint="eastAsia" w:eastAsia="仿宋_GB2312"/>
          <w:color w:val="000000"/>
          <w:sz w:val="32"/>
          <w:szCs w:val="32"/>
        </w:rPr>
        <w:t>察隅县</w:t>
      </w:r>
      <w:r>
        <w:rPr>
          <w:rFonts w:eastAsia="仿宋_GB2312"/>
          <w:color w:val="000000"/>
          <w:sz w:val="32"/>
          <w:szCs w:val="32"/>
        </w:rPr>
        <w:t>行政审批和便民服务局是</w:t>
      </w:r>
      <w:r>
        <w:rPr>
          <w:rFonts w:hint="eastAsia" w:eastAsia="仿宋_GB2312"/>
          <w:color w:val="000000"/>
          <w:sz w:val="32"/>
          <w:szCs w:val="32"/>
        </w:rPr>
        <w:t>县</w:t>
      </w:r>
      <w:r>
        <w:rPr>
          <w:rFonts w:eastAsia="仿宋_GB2312"/>
          <w:color w:val="000000"/>
          <w:sz w:val="32"/>
          <w:szCs w:val="32"/>
        </w:rPr>
        <w:t>人民政府工作部门</w:t>
      </w:r>
      <w:r>
        <w:rPr>
          <w:rFonts w:hint="eastAsia" w:eastAsia="仿宋_GB2312"/>
          <w:color w:val="000000"/>
          <w:sz w:val="32"/>
          <w:szCs w:val="32"/>
        </w:rPr>
        <w:t>，</w:t>
      </w:r>
      <w:r>
        <w:rPr>
          <w:rFonts w:eastAsia="仿宋_GB2312"/>
          <w:color w:val="000000"/>
          <w:sz w:val="32"/>
          <w:szCs w:val="32"/>
        </w:rPr>
        <w:t>为正</w:t>
      </w:r>
      <w:r>
        <w:rPr>
          <w:rFonts w:hint="eastAsia" w:eastAsia="仿宋_GB2312"/>
          <w:color w:val="000000"/>
          <w:sz w:val="32"/>
          <w:szCs w:val="32"/>
        </w:rPr>
        <w:t>科</w:t>
      </w:r>
      <w:r>
        <w:rPr>
          <w:rFonts w:eastAsia="仿宋_GB2312"/>
          <w:color w:val="000000"/>
          <w:sz w:val="32"/>
          <w:szCs w:val="32"/>
        </w:rPr>
        <w:t>级。</w:t>
      </w:r>
    </w:p>
    <w:p>
      <w:pPr>
        <w:rPr>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察隅县行政审批局2021年度部门决算明细表（详见附表）</w:t>
      </w:r>
    </w:p>
    <w:p>
      <w:pPr>
        <w:spacing w:line="560" w:lineRule="exact"/>
        <w:jc w:val="center"/>
        <w:rPr>
          <w:rFonts w:ascii="黑体" w:hAnsi="仿宋_GB2312" w:eastAsia="黑体" w:cs="仿宋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察隅县行政审批局2021年度部门决算情况说明</w:t>
      </w:r>
    </w:p>
    <w:p>
      <w:pPr>
        <w:ind w:firstLine="482" w:firstLineChars="150"/>
        <w:jc w:val="left"/>
        <w:rPr>
          <w:rFonts w:ascii="仿宋_GB2312" w:eastAsia="仿宋_GB2312"/>
          <w:b/>
          <w:sz w:val="32"/>
          <w:szCs w:val="32"/>
        </w:rPr>
      </w:pP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一、收入支出决算总体情况说明</w:t>
      </w:r>
    </w:p>
    <w:p>
      <w:pPr>
        <w:spacing w:line="560" w:lineRule="exact"/>
        <w:ind w:firstLine="640" w:firstLineChars="200"/>
        <w:rPr>
          <w:rFonts w:ascii="宋体" w:hAnsi="宋体" w:eastAsia="宋体" w:cs="宋体"/>
          <w:kern w:val="0"/>
          <w:sz w:val="22"/>
        </w:rPr>
      </w:pPr>
      <w:r>
        <w:rPr>
          <w:rFonts w:hint="eastAsia" w:ascii="仿宋_GB2312" w:eastAsia="仿宋_GB2312"/>
          <w:sz w:val="32"/>
          <w:szCs w:val="32"/>
        </w:rPr>
        <w:t>2021年度收入决算总规模为</w:t>
      </w:r>
      <w:r>
        <w:rPr>
          <w:rFonts w:hint="eastAsia" w:ascii="宋体" w:hAnsi="宋体" w:eastAsia="宋体" w:cs="宋体"/>
          <w:kern w:val="0"/>
          <w:sz w:val="28"/>
        </w:rPr>
        <w:t>133.24万</w:t>
      </w:r>
      <w:r>
        <w:rPr>
          <w:rFonts w:hint="eastAsia" w:ascii="仿宋_GB2312" w:eastAsia="仿宋_GB2312"/>
          <w:sz w:val="32"/>
          <w:szCs w:val="32"/>
        </w:rPr>
        <w:t>元，相比上年增长36.11%，主要原因为本年度人员调整，人员经费预算收入增加。2021年度支出决算总规模为</w:t>
      </w:r>
      <w:r>
        <w:rPr>
          <w:rFonts w:hint="eastAsia" w:ascii="宋体" w:hAnsi="宋体" w:eastAsia="宋体" w:cs="宋体"/>
          <w:kern w:val="0"/>
          <w:sz w:val="28"/>
        </w:rPr>
        <w:t>133.24万</w:t>
      </w:r>
      <w:r>
        <w:rPr>
          <w:rFonts w:hint="eastAsia" w:ascii="仿宋_GB2312" w:eastAsia="仿宋_GB2312"/>
          <w:sz w:val="32"/>
          <w:szCs w:val="32"/>
        </w:rPr>
        <w:t>元，相比上年增长85.9%，主要原因为本年度人员调整，人员经费预算支出增加，以及有上年结转单位办公楼维修项目预算支出。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2021年度总收入决算为</w:t>
      </w:r>
      <w:r>
        <w:rPr>
          <w:rFonts w:hint="eastAsia" w:ascii="宋体" w:hAnsi="宋体" w:eastAsia="宋体" w:cs="宋体"/>
          <w:kern w:val="0"/>
          <w:sz w:val="28"/>
        </w:rPr>
        <w:t>107.05万</w:t>
      </w:r>
      <w:r>
        <w:rPr>
          <w:rFonts w:hint="eastAsia" w:ascii="仿宋_GB2312" w:eastAsia="仿宋_GB2312"/>
          <w:sz w:val="32"/>
          <w:szCs w:val="32"/>
        </w:rPr>
        <w:t>元，主要包括财政拨款收入</w:t>
      </w:r>
      <w:r>
        <w:rPr>
          <w:rFonts w:hint="eastAsia" w:ascii="宋体" w:hAnsi="宋体" w:eastAsia="宋体" w:cs="宋体"/>
          <w:kern w:val="0"/>
          <w:sz w:val="28"/>
        </w:rPr>
        <w:t>107.05万</w:t>
      </w:r>
      <w:r>
        <w:rPr>
          <w:rFonts w:hint="eastAsia" w:ascii="仿宋_GB2312" w:eastAsia="仿宋_GB2312"/>
          <w:sz w:val="32"/>
          <w:szCs w:val="32"/>
        </w:rPr>
        <w:t>元，占总收入100%；总收入比上年增加9.16万元，相比上年增长9.36%。主要原因为本年度人员调整，人员经费预算收入增加。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2021年度总支出决算为</w:t>
      </w:r>
      <w:r>
        <w:rPr>
          <w:rFonts w:hint="eastAsia" w:ascii="宋体" w:hAnsi="宋体" w:eastAsia="宋体" w:cs="宋体"/>
          <w:kern w:val="0"/>
          <w:sz w:val="28"/>
        </w:rPr>
        <w:t>133.24万</w:t>
      </w:r>
      <w:r>
        <w:rPr>
          <w:rFonts w:hint="eastAsia" w:ascii="仿宋_GB2312" w:eastAsia="仿宋_GB2312"/>
          <w:sz w:val="32"/>
          <w:szCs w:val="32"/>
        </w:rPr>
        <w:t>元，主要包括基本支出</w:t>
      </w:r>
      <w:r>
        <w:rPr>
          <w:rFonts w:hint="eastAsia" w:ascii="宋体" w:hAnsi="宋体" w:eastAsia="宋体" w:cs="宋体"/>
          <w:kern w:val="0"/>
          <w:sz w:val="28"/>
        </w:rPr>
        <w:t>107.05万</w:t>
      </w:r>
      <w:r>
        <w:rPr>
          <w:rFonts w:hint="eastAsia" w:ascii="仿宋_GB2312" w:eastAsia="仿宋_GB2312"/>
          <w:sz w:val="32"/>
          <w:szCs w:val="32"/>
        </w:rPr>
        <w:t>元，占总支出80.34%；项目支出26.19万元，占总支出19.66%。总支出比上年增加61.57万元，同比增长85.9%，主要原因为本年度人员调整，人员经费预算支出增加，以及有上年结转单位办公楼维修项目预算支出。</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2021年度一般公共预算财政拨款总收入决算为</w:t>
      </w:r>
      <w:r>
        <w:rPr>
          <w:rFonts w:hint="eastAsia" w:ascii="宋体" w:hAnsi="宋体" w:eastAsia="宋体" w:cs="宋体"/>
          <w:kern w:val="0"/>
          <w:sz w:val="28"/>
        </w:rPr>
        <w:t>107.05万</w:t>
      </w:r>
      <w:r>
        <w:rPr>
          <w:rFonts w:hint="eastAsia" w:ascii="仿宋_GB2312" w:eastAsia="仿宋_GB2312"/>
          <w:sz w:val="32"/>
          <w:szCs w:val="32"/>
        </w:rPr>
        <w:t>元，比上年增加35.38万元，同比增长49.37%，主要原因为本年度人员调整，人员经费预算收入增加。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2021年度一般公共预算财政拨款总支出决算为</w:t>
      </w:r>
      <w:r>
        <w:rPr>
          <w:rFonts w:hint="eastAsia" w:ascii="宋体" w:hAnsi="宋体" w:eastAsia="宋体" w:cs="宋体"/>
          <w:kern w:val="0"/>
          <w:sz w:val="28"/>
        </w:rPr>
        <w:t>107.05万</w:t>
      </w:r>
      <w:r>
        <w:rPr>
          <w:rFonts w:hint="eastAsia" w:ascii="仿宋_GB2312" w:eastAsia="仿宋_GB2312"/>
          <w:sz w:val="32"/>
          <w:szCs w:val="32"/>
        </w:rPr>
        <w:t>元，比上年增加35.38万元，同比增长49.37%，主要原因为本年度人员调整，人员经费预算支出增加。</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w:t>
      </w:r>
      <w:r>
        <w:rPr>
          <w:rFonts w:hint="eastAsia" w:ascii="宋体" w:hAnsi="宋体" w:eastAsia="宋体" w:cs="宋体"/>
          <w:kern w:val="0"/>
          <w:sz w:val="28"/>
        </w:rPr>
        <w:t>107.05万</w:t>
      </w:r>
      <w:r>
        <w:rPr>
          <w:rFonts w:hint="eastAsia" w:ascii="仿宋_GB2312" w:eastAsia="仿宋_GB2312"/>
          <w:sz w:val="32"/>
          <w:szCs w:val="32"/>
        </w:rPr>
        <w:t>元。比年初预算减少32.57万元,降低23.33%，主要原因为人员经费支出减少。比上年决算增加35.38万元，同比增长49.37%；主要原因为本年度人员调整，人员经费预算收入增加。其中：基本支出</w:t>
      </w:r>
      <w:r>
        <w:rPr>
          <w:rFonts w:hint="eastAsia" w:ascii="宋体" w:hAnsi="宋体" w:eastAsia="宋体" w:cs="宋体"/>
          <w:kern w:val="0"/>
          <w:sz w:val="28"/>
        </w:rPr>
        <w:t>107.05</w:t>
      </w:r>
      <w:r>
        <w:rPr>
          <w:rFonts w:hint="eastAsia" w:ascii="仿宋_GB2312" w:eastAsia="仿宋_GB2312"/>
          <w:sz w:val="32"/>
          <w:szCs w:val="32"/>
        </w:rPr>
        <w:t>万元，占总支出100%。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2021年度一般公共预算财政拨款基本支出决算为</w:t>
      </w:r>
      <w:r>
        <w:rPr>
          <w:rFonts w:hint="eastAsia" w:ascii="宋体" w:hAnsi="宋体" w:eastAsia="宋体" w:cs="宋体"/>
          <w:kern w:val="0"/>
          <w:sz w:val="28"/>
        </w:rPr>
        <w:t>107.05</w:t>
      </w:r>
      <w:r>
        <w:rPr>
          <w:rFonts w:hint="eastAsia" w:ascii="仿宋_GB2312" w:eastAsia="仿宋_GB2312"/>
          <w:sz w:val="32"/>
          <w:szCs w:val="32"/>
        </w:rPr>
        <w:t>万元，与年初预算相比减少32.57万元，降低23.33%，主要原因为人员经费支出减少。与上年相比增加38.28万元，同比增长35.76%。主要原因为本年度人员调整，人员经费预算支出增加。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合计94.09万元，占总支出的63.43%，主要包括工资福利支出支出和对个人和家庭的补助支出。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合计39.15万元，占总支出36.57%，主要包括商品和服务支出等。</w:t>
      </w:r>
    </w:p>
    <w:p>
      <w:pPr>
        <w:spacing w:line="560" w:lineRule="exact"/>
        <w:ind w:firstLine="482" w:firstLineChars="150"/>
        <w:jc w:val="left"/>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2021年度一般公共预算财政拨款“三公”经费总支出0元。比年初预算减少2.46万元，降低100%。比上年决算减少0.28万元，同比降低100%</w:t>
      </w:r>
      <w:r>
        <w:rPr>
          <w:rFonts w:hint="eastAsia" w:ascii="仿宋_GB2312" w:hAnsi="仿宋_GB2312" w:eastAsia="仿宋_GB2312" w:cs="仿宋_GB2312"/>
          <w:sz w:val="32"/>
          <w:szCs w:val="32"/>
        </w:rPr>
        <w:t>。其中：</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因公出国（镜）0团组数0人数，与预算数持平，与上年持平。为进一步规范因公出国（境）费用管理，我县因公出国（境）费用按照零基预算原则，因此因公出国（境）费用支出为0元。</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。2021年度支出0元，其中：</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1.公务用车购置费。公务用车购置数为0，保有量为0辆，与上年持平，与预算数持平。公务用车购置严格按照我县车辆管理及厉行节约有关要求实行总额控制。</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2.公务用车运行费。2021年度支出0元。比年初预算增减少1.44万元，降低100%。比上年决算减少0.28万元，同比降低100%</w:t>
      </w:r>
      <w:r>
        <w:rPr>
          <w:rFonts w:hint="eastAsia" w:ascii="仿宋_GB2312" w:hAnsi="仿宋_GB2312" w:eastAsia="仿宋_GB2312" w:cs="仿宋_GB2312"/>
          <w:sz w:val="32"/>
          <w:szCs w:val="32"/>
        </w:rPr>
        <w:t>。主要原因为今年单位无公车</w:t>
      </w:r>
      <w:r>
        <w:rPr>
          <w:rFonts w:hint="eastAsia" w:ascii="仿宋_GB2312" w:hAnsi="仿宋_GB2312" w:eastAsia="仿宋_GB2312" w:cs="仿宋_GB2312"/>
          <w:snapToGrid w:val="0"/>
          <w:w w:val="95"/>
          <w:sz w:val="32"/>
          <w:szCs w:val="32"/>
        </w:rPr>
        <w:t>运行</w:t>
      </w:r>
      <w:r>
        <w:rPr>
          <w:rFonts w:hint="eastAsia" w:ascii="仿宋_GB2312" w:hAnsi="仿宋_GB2312" w:eastAsia="仿宋_GB2312" w:cs="仿宋_GB2312"/>
          <w:sz w:val="32"/>
          <w:szCs w:val="32"/>
        </w:rPr>
        <w:t>费用。</w:t>
      </w:r>
    </w:p>
    <w:p>
      <w:pPr>
        <w:widowControl/>
        <w:adjustRightInd w:val="0"/>
        <w:snapToGrid w:val="0"/>
        <w:spacing w:line="560" w:lineRule="exact"/>
        <w:ind w:firstLine="608"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2021年度支出0万元，公务接待0批次，0人次。比年初预算减少1.02万元，降低100%。与上年持平。主要原因为我单位按照公务接待相关要求，厉行勤俭节约严格控制不必要的公务接待费支出。</w:t>
      </w:r>
    </w:p>
    <w:p>
      <w:pPr>
        <w:pStyle w:val="8"/>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2021年度本单位无政府性基金预算财政拨款收入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napToGrid w:val="0"/>
          <w:w w:val="95"/>
          <w:sz w:val="32"/>
          <w:szCs w:val="32"/>
        </w:rPr>
        <w:t>与上年持平，与预算数持平。</w:t>
      </w:r>
    </w:p>
    <w:p>
      <w:pPr>
        <w:numPr>
          <w:ilvl w:val="0"/>
          <w:numId w:val="3"/>
        </w:numPr>
        <w:spacing w:line="560" w:lineRule="exact"/>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spacing w:line="560" w:lineRule="exact"/>
        <w:ind w:firstLine="643" w:firstLineChars="200"/>
        <w:jc w:val="left"/>
        <w:rPr>
          <w:rFonts w:ascii="仿宋_GB2312" w:hAnsi="仿宋_GB2312" w:eastAsia="仿宋_GB2312" w:cs="仿宋_GB2312"/>
          <w:snapToGrid w:val="0"/>
          <w:w w:val="95"/>
          <w:sz w:val="32"/>
          <w:szCs w:val="32"/>
        </w:rPr>
      </w:pPr>
      <w:r>
        <w:rPr>
          <w:rFonts w:hint="eastAsia" w:ascii="仿宋_GB2312" w:eastAsia="仿宋_GB2312"/>
          <w:b/>
          <w:bCs/>
          <w:sz w:val="32"/>
          <w:szCs w:val="32"/>
        </w:rPr>
        <w:t>十、其他重要事项情况说明</w:t>
      </w:r>
    </w:p>
    <w:p>
      <w:pPr>
        <w:spacing w:line="560" w:lineRule="exact"/>
        <w:ind w:firstLine="480" w:firstLineChars="150"/>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2021年度机关运行经费支出12.96万元，比上年减少1.44万元，同比降低10%，主要原因为公用经费支出减少。</w:t>
      </w:r>
    </w:p>
    <w:p>
      <w:pPr>
        <w:spacing w:line="560" w:lineRule="exact"/>
        <w:ind w:firstLine="480" w:firstLineChars="150"/>
        <w:jc w:val="left"/>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2021年度政府采购支出0万元，其中：政府采购货物支出0万元，政府采购工程支出0万元，政府采购服务支出0万元。</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（三）国有资产占用情况说明。</w:t>
      </w:r>
      <w:r>
        <w:rPr>
          <w:rFonts w:hint="eastAsia" w:ascii="仿宋_GB2312" w:hAnsi="仿宋_GB2312" w:eastAsia="仿宋_GB2312" w:cs="仿宋_GB2312"/>
          <w:sz w:val="32"/>
          <w:szCs w:val="32"/>
        </w:rPr>
        <w:t>截至2021年12月31日，本部门共有车辆</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辆，其中：一般公务用车0辆、机要通信用车0辆、应急保障用车0辆、执法执勤用车0辆、其他用车0辆、单价50万元（含）以上的通用设备0台（套）、单价100万元（含）以上的专用设备0台（套）。</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根据预算绩效管理要求，察隅县行政审批局已按要求编制整体支出绩效目标，并围绕政策落实、年度计划实施、重点工作任务和重大项目开展以及资金管理使用等情况，开展整体支出绩效自评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bookmarkEnd w:id="0"/>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2021年度察隅县行政审批局无重点、重大项目信息。</w:t>
      </w:r>
    </w:p>
    <w:p>
      <w:pPr>
        <w:ind w:firstLine="640" w:firstLineChars="200"/>
        <w:jc w:val="left"/>
        <w:rPr>
          <w:rFonts w:ascii="仿宋_GB2312" w:eastAsia="仿宋_GB2312"/>
          <w:sz w:val="32"/>
          <w:szCs w:val="32"/>
        </w:rPr>
      </w:pP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30" w:firstLineChars="196"/>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- 7 -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3D680437"/>
    <w:multiLevelType w:val="singleLevel"/>
    <w:tmpl w:val="3D680437"/>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377B4"/>
    <w:rsid w:val="00043D60"/>
    <w:rsid w:val="00054E45"/>
    <w:rsid w:val="000607F3"/>
    <w:rsid w:val="0007273F"/>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B3E7D"/>
    <w:rsid w:val="001C0F82"/>
    <w:rsid w:val="001C3A6C"/>
    <w:rsid w:val="001C5F53"/>
    <w:rsid w:val="001D7F86"/>
    <w:rsid w:val="001F3F40"/>
    <w:rsid w:val="0020740D"/>
    <w:rsid w:val="002105BA"/>
    <w:rsid w:val="0021393A"/>
    <w:rsid w:val="00220150"/>
    <w:rsid w:val="00224FFF"/>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11AA6"/>
    <w:rsid w:val="00320A35"/>
    <w:rsid w:val="0032333D"/>
    <w:rsid w:val="0036111C"/>
    <w:rsid w:val="0036354F"/>
    <w:rsid w:val="003743EB"/>
    <w:rsid w:val="00381692"/>
    <w:rsid w:val="00382ED7"/>
    <w:rsid w:val="0038317D"/>
    <w:rsid w:val="00397491"/>
    <w:rsid w:val="0039795E"/>
    <w:rsid w:val="003B2CE5"/>
    <w:rsid w:val="003C5576"/>
    <w:rsid w:val="003D2184"/>
    <w:rsid w:val="00424DB7"/>
    <w:rsid w:val="00426560"/>
    <w:rsid w:val="0043078B"/>
    <w:rsid w:val="00433ACE"/>
    <w:rsid w:val="004349E9"/>
    <w:rsid w:val="00440864"/>
    <w:rsid w:val="004652C4"/>
    <w:rsid w:val="0048613F"/>
    <w:rsid w:val="0048713A"/>
    <w:rsid w:val="00493967"/>
    <w:rsid w:val="004A2C48"/>
    <w:rsid w:val="004A3D10"/>
    <w:rsid w:val="004B03E2"/>
    <w:rsid w:val="004B3831"/>
    <w:rsid w:val="004C3C58"/>
    <w:rsid w:val="004D6DBC"/>
    <w:rsid w:val="004E4C77"/>
    <w:rsid w:val="00502C0D"/>
    <w:rsid w:val="00516720"/>
    <w:rsid w:val="00520B00"/>
    <w:rsid w:val="0052273C"/>
    <w:rsid w:val="00530DB1"/>
    <w:rsid w:val="005320AE"/>
    <w:rsid w:val="00546D0D"/>
    <w:rsid w:val="00547B87"/>
    <w:rsid w:val="00551770"/>
    <w:rsid w:val="00580184"/>
    <w:rsid w:val="005879F2"/>
    <w:rsid w:val="00591EDB"/>
    <w:rsid w:val="005931B7"/>
    <w:rsid w:val="005A6CDD"/>
    <w:rsid w:val="005C1A37"/>
    <w:rsid w:val="005C2AA8"/>
    <w:rsid w:val="005D7C94"/>
    <w:rsid w:val="005D7F6D"/>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7E7B2C"/>
    <w:rsid w:val="007F0EDE"/>
    <w:rsid w:val="008029FA"/>
    <w:rsid w:val="00805CE7"/>
    <w:rsid w:val="00812641"/>
    <w:rsid w:val="00815254"/>
    <w:rsid w:val="0081574A"/>
    <w:rsid w:val="00821F41"/>
    <w:rsid w:val="008235BF"/>
    <w:rsid w:val="00835C20"/>
    <w:rsid w:val="00836944"/>
    <w:rsid w:val="00836ECE"/>
    <w:rsid w:val="008461A9"/>
    <w:rsid w:val="0085415A"/>
    <w:rsid w:val="00872F0E"/>
    <w:rsid w:val="00886BE8"/>
    <w:rsid w:val="008A450F"/>
    <w:rsid w:val="008B2AA9"/>
    <w:rsid w:val="008B6FD9"/>
    <w:rsid w:val="008B7FDB"/>
    <w:rsid w:val="008C052F"/>
    <w:rsid w:val="008D1DF7"/>
    <w:rsid w:val="008D577A"/>
    <w:rsid w:val="008E7B46"/>
    <w:rsid w:val="00900172"/>
    <w:rsid w:val="009028C4"/>
    <w:rsid w:val="009033F7"/>
    <w:rsid w:val="00926570"/>
    <w:rsid w:val="00935CA8"/>
    <w:rsid w:val="00984477"/>
    <w:rsid w:val="009A2610"/>
    <w:rsid w:val="009A4D5A"/>
    <w:rsid w:val="009A5278"/>
    <w:rsid w:val="009B0039"/>
    <w:rsid w:val="009B5EA4"/>
    <w:rsid w:val="009B775A"/>
    <w:rsid w:val="009D7E33"/>
    <w:rsid w:val="009E3CF4"/>
    <w:rsid w:val="009E6E04"/>
    <w:rsid w:val="009F4B7D"/>
    <w:rsid w:val="00A0051C"/>
    <w:rsid w:val="00A0582B"/>
    <w:rsid w:val="00A15F59"/>
    <w:rsid w:val="00A20FB5"/>
    <w:rsid w:val="00A22611"/>
    <w:rsid w:val="00A26EDD"/>
    <w:rsid w:val="00A377C1"/>
    <w:rsid w:val="00A4207E"/>
    <w:rsid w:val="00A559DA"/>
    <w:rsid w:val="00A63A81"/>
    <w:rsid w:val="00A8178C"/>
    <w:rsid w:val="00A87D16"/>
    <w:rsid w:val="00AB67E2"/>
    <w:rsid w:val="00AC462B"/>
    <w:rsid w:val="00AC775C"/>
    <w:rsid w:val="00AD7F12"/>
    <w:rsid w:val="00AE1B8B"/>
    <w:rsid w:val="00AE1D6D"/>
    <w:rsid w:val="00B059F0"/>
    <w:rsid w:val="00B07069"/>
    <w:rsid w:val="00B20D15"/>
    <w:rsid w:val="00B2450D"/>
    <w:rsid w:val="00B249C9"/>
    <w:rsid w:val="00B34B22"/>
    <w:rsid w:val="00B614C3"/>
    <w:rsid w:val="00B6564E"/>
    <w:rsid w:val="00B71650"/>
    <w:rsid w:val="00B716A8"/>
    <w:rsid w:val="00B87F89"/>
    <w:rsid w:val="00B971E2"/>
    <w:rsid w:val="00BA685C"/>
    <w:rsid w:val="00BB17A4"/>
    <w:rsid w:val="00BC3B74"/>
    <w:rsid w:val="00C0256A"/>
    <w:rsid w:val="00C2739C"/>
    <w:rsid w:val="00C361AA"/>
    <w:rsid w:val="00C7306A"/>
    <w:rsid w:val="00C742B2"/>
    <w:rsid w:val="00C76D56"/>
    <w:rsid w:val="00C8046F"/>
    <w:rsid w:val="00C91B68"/>
    <w:rsid w:val="00C92C50"/>
    <w:rsid w:val="00CB141A"/>
    <w:rsid w:val="00CC1D3A"/>
    <w:rsid w:val="00CD78D5"/>
    <w:rsid w:val="00D02168"/>
    <w:rsid w:val="00D047D1"/>
    <w:rsid w:val="00D06EA8"/>
    <w:rsid w:val="00D20F08"/>
    <w:rsid w:val="00D4141F"/>
    <w:rsid w:val="00D43E36"/>
    <w:rsid w:val="00D522A4"/>
    <w:rsid w:val="00D71343"/>
    <w:rsid w:val="00D7224C"/>
    <w:rsid w:val="00D87458"/>
    <w:rsid w:val="00DA653D"/>
    <w:rsid w:val="00DB6465"/>
    <w:rsid w:val="00DC1B16"/>
    <w:rsid w:val="00DF3E94"/>
    <w:rsid w:val="00DF56D0"/>
    <w:rsid w:val="00DF7D53"/>
    <w:rsid w:val="00E20BC6"/>
    <w:rsid w:val="00E30894"/>
    <w:rsid w:val="00E36848"/>
    <w:rsid w:val="00E40F68"/>
    <w:rsid w:val="00E43DB9"/>
    <w:rsid w:val="00E55176"/>
    <w:rsid w:val="00E562EC"/>
    <w:rsid w:val="00E56AF4"/>
    <w:rsid w:val="00E6504C"/>
    <w:rsid w:val="00E75F86"/>
    <w:rsid w:val="00E809B6"/>
    <w:rsid w:val="00E90528"/>
    <w:rsid w:val="00E90E7B"/>
    <w:rsid w:val="00E93433"/>
    <w:rsid w:val="00EA30DA"/>
    <w:rsid w:val="00EB718E"/>
    <w:rsid w:val="00EE4400"/>
    <w:rsid w:val="00EE556F"/>
    <w:rsid w:val="00EE566D"/>
    <w:rsid w:val="00EF173F"/>
    <w:rsid w:val="00F24C6F"/>
    <w:rsid w:val="00F2699A"/>
    <w:rsid w:val="00F437D4"/>
    <w:rsid w:val="00F57203"/>
    <w:rsid w:val="00F60D21"/>
    <w:rsid w:val="00F77C45"/>
    <w:rsid w:val="00F82A0A"/>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4A0DDC"/>
    <w:rsid w:val="037E5F1D"/>
    <w:rsid w:val="03CC7163"/>
    <w:rsid w:val="03D74534"/>
    <w:rsid w:val="03DA0031"/>
    <w:rsid w:val="03EC44F3"/>
    <w:rsid w:val="03FD70A9"/>
    <w:rsid w:val="043B2C3A"/>
    <w:rsid w:val="0452115D"/>
    <w:rsid w:val="04815BD5"/>
    <w:rsid w:val="05097677"/>
    <w:rsid w:val="05591C49"/>
    <w:rsid w:val="060825F0"/>
    <w:rsid w:val="063A4C07"/>
    <w:rsid w:val="063E3381"/>
    <w:rsid w:val="0643722A"/>
    <w:rsid w:val="065E21CA"/>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612FC7"/>
    <w:rsid w:val="098E615B"/>
    <w:rsid w:val="09CD1DDE"/>
    <w:rsid w:val="09D23368"/>
    <w:rsid w:val="09E23478"/>
    <w:rsid w:val="09F407D8"/>
    <w:rsid w:val="0A1E26CD"/>
    <w:rsid w:val="0A1F0C00"/>
    <w:rsid w:val="0A2F3C47"/>
    <w:rsid w:val="0A4E1AEA"/>
    <w:rsid w:val="0A5F7923"/>
    <w:rsid w:val="0A617FB0"/>
    <w:rsid w:val="0A903954"/>
    <w:rsid w:val="0AE05687"/>
    <w:rsid w:val="0AE77AF1"/>
    <w:rsid w:val="0AF4222B"/>
    <w:rsid w:val="0AF7325D"/>
    <w:rsid w:val="0B081C62"/>
    <w:rsid w:val="0B1A11A3"/>
    <w:rsid w:val="0B4F32CB"/>
    <w:rsid w:val="0B720DAD"/>
    <w:rsid w:val="0BCD4F1D"/>
    <w:rsid w:val="0BE71D4B"/>
    <w:rsid w:val="0BEC7BC1"/>
    <w:rsid w:val="0BED349F"/>
    <w:rsid w:val="0C190FDA"/>
    <w:rsid w:val="0C1E1F83"/>
    <w:rsid w:val="0C304BB0"/>
    <w:rsid w:val="0C597747"/>
    <w:rsid w:val="0C5A6A4B"/>
    <w:rsid w:val="0C5B5F56"/>
    <w:rsid w:val="0C9E3F17"/>
    <w:rsid w:val="0CBB7325"/>
    <w:rsid w:val="0D1B41AA"/>
    <w:rsid w:val="0D4D4ABD"/>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01597"/>
    <w:rsid w:val="0F443A6F"/>
    <w:rsid w:val="0F775EC7"/>
    <w:rsid w:val="0FC65547"/>
    <w:rsid w:val="0FCC34FC"/>
    <w:rsid w:val="0FED4320"/>
    <w:rsid w:val="102E66FD"/>
    <w:rsid w:val="106B4098"/>
    <w:rsid w:val="10784C3F"/>
    <w:rsid w:val="10E16DBA"/>
    <w:rsid w:val="10FE7208"/>
    <w:rsid w:val="1113175F"/>
    <w:rsid w:val="111D5572"/>
    <w:rsid w:val="115616DD"/>
    <w:rsid w:val="11897E1C"/>
    <w:rsid w:val="11D71DB8"/>
    <w:rsid w:val="120E3A6C"/>
    <w:rsid w:val="1257313B"/>
    <w:rsid w:val="12601F0B"/>
    <w:rsid w:val="127B7321"/>
    <w:rsid w:val="12B87FD9"/>
    <w:rsid w:val="132E7FA6"/>
    <w:rsid w:val="133B537F"/>
    <w:rsid w:val="13AC5DE2"/>
    <w:rsid w:val="13D7782C"/>
    <w:rsid w:val="13E17A11"/>
    <w:rsid w:val="13E9383C"/>
    <w:rsid w:val="1469705C"/>
    <w:rsid w:val="14EF7838"/>
    <w:rsid w:val="14F77C11"/>
    <w:rsid w:val="15131DF0"/>
    <w:rsid w:val="151C638B"/>
    <w:rsid w:val="15226909"/>
    <w:rsid w:val="15274957"/>
    <w:rsid w:val="153A1DE9"/>
    <w:rsid w:val="154F5D4D"/>
    <w:rsid w:val="155F13F1"/>
    <w:rsid w:val="15761F4A"/>
    <w:rsid w:val="1594125D"/>
    <w:rsid w:val="1594320F"/>
    <w:rsid w:val="15A128FE"/>
    <w:rsid w:val="15B70E55"/>
    <w:rsid w:val="15EC5170"/>
    <w:rsid w:val="162A797C"/>
    <w:rsid w:val="16393AEE"/>
    <w:rsid w:val="165C1EC5"/>
    <w:rsid w:val="16F35772"/>
    <w:rsid w:val="17B7334E"/>
    <w:rsid w:val="17BF5D81"/>
    <w:rsid w:val="17CD2403"/>
    <w:rsid w:val="17E937AE"/>
    <w:rsid w:val="181D48C4"/>
    <w:rsid w:val="18255DD6"/>
    <w:rsid w:val="185B13AE"/>
    <w:rsid w:val="188C0ABD"/>
    <w:rsid w:val="18913F01"/>
    <w:rsid w:val="18C70DD4"/>
    <w:rsid w:val="18EB15EF"/>
    <w:rsid w:val="19234752"/>
    <w:rsid w:val="192B0B9A"/>
    <w:rsid w:val="192E320B"/>
    <w:rsid w:val="197856BC"/>
    <w:rsid w:val="19AA096B"/>
    <w:rsid w:val="19DC3CF4"/>
    <w:rsid w:val="1A2D230A"/>
    <w:rsid w:val="1A581A52"/>
    <w:rsid w:val="1A6105B6"/>
    <w:rsid w:val="1A707545"/>
    <w:rsid w:val="1A7B0FF9"/>
    <w:rsid w:val="1ACE64AB"/>
    <w:rsid w:val="1AEC2C50"/>
    <w:rsid w:val="1B057A41"/>
    <w:rsid w:val="1B367D8E"/>
    <w:rsid w:val="1B7109B6"/>
    <w:rsid w:val="1BBC5A53"/>
    <w:rsid w:val="1BC317A8"/>
    <w:rsid w:val="1C0D3A85"/>
    <w:rsid w:val="1C93612C"/>
    <w:rsid w:val="1CA54C00"/>
    <w:rsid w:val="1CAE2196"/>
    <w:rsid w:val="1D32368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2336C"/>
    <w:rsid w:val="21DD2940"/>
    <w:rsid w:val="21DF1099"/>
    <w:rsid w:val="22264BFB"/>
    <w:rsid w:val="228D60F6"/>
    <w:rsid w:val="22933B81"/>
    <w:rsid w:val="22F23976"/>
    <w:rsid w:val="23021452"/>
    <w:rsid w:val="23105FD7"/>
    <w:rsid w:val="232F0410"/>
    <w:rsid w:val="233A7A0A"/>
    <w:rsid w:val="23493D48"/>
    <w:rsid w:val="238A6703"/>
    <w:rsid w:val="239C40A9"/>
    <w:rsid w:val="23AD4F2E"/>
    <w:rsid w:val="23DB7500"/>
    <w:rsid w:val="23E0752E"/>
    <w:rsid w:val="240235FB"/>
    <w:rsid w:val="241033B9"/>
    <w:rsid w:val="24262A62"/>
    <w:rsid w:val="24633129"/>
    <w:rsid w:val="247C476A"/>
    <w:rsid w:val="24925309"/>
    <w:rsid w:val="24AF268A"/>
    <w:rsid w:val="24C70A7D"/>
    <w:rsid w:val="24E207E3"/>
    <w:rsid w:val="24E649A4"/>
    <w:rsid w:val="24F401BB"/>
    <w:rsid w:val="24F63A00"/>
    <w:rsid w:val="255741FF"/>
    <w:rsid w:val="25615BEB"/>
    <w:rsid w:val="25660E2E"/>
    <w:rsid w:val="258D7E8D"/>
    <w:rsid w:val="26046103"/>
    <w:rsid w:val="261F69B7"/>
    <w:rsid w:val="26384B83"/>
    <w:rsid w:val="27F90679"/>
    <w:rsid w:val="281618C5"/>
    <w:rsid w:val="28247C87"/>
    <w:rsid w:val="28376E94"/>
    <w:rsid w:val="285828E5"/>
    <w:rsid w:val="28653502"/>
    <w:rsid w:val="287309F7"/>
    <w:rsid w:val="28746B4A"/>
    <w:rsid w:val="28AC2E0B"/>
    <w:rsid w:val="28CA0FE2"/>
    <w:rsid w:val="28D36E04"/>
    <w:rsid w:val="28E73C08"/>
    <w:rsid w:val="291558A3"/>
    <w:rsid w:val="29487BC6"/>
    <w:rsid w:val="29551ED8"/>
    <w:rsid w:val="29831A2D"/>
    <w:rsid w:val="298C2759"/>
    <w:rsid w:val="29911ECA"/>
    <w:rsid w:val="29A7505E"/>
    <w:rsid w:val="29FA6023"/>
    <w:rsid w:val="2A337514"/>
    <w:rsid w:val="2A753821"/>
    <w:rsid w:val="2A9F5C2C"/>
    <w:rsid w:val="2AED2707"/>
    <w:rsid w:val="2B220DAD"/>
    <w:rsid w:val="2B4F3BB5"/>
    <w:rsid w:val="2B5D54E7"/>
    <w:rsid w:val="2B5E29B1"/>
    <w:rsid w:val="2C2529BD"/>
    <w:rsid w:val="2C82694E"/>
    <w:rsid w:val="2D01320C"/>
    <w:rsid w:val="2D21246F"/>
    <w:rsid w:val="2D3A646F"/>
    <w:rsid w:val="2D5B7474"/>
    <w:rsid w:val="2D7B6A45"/>
    <w:rsid w:val="2DA83E89"/>
    <w:rsid w:val="2DAF04EC"/>
    <w:rsid w:val="2DF41F4C"/>
    <w:rsid w:val="2E177979"/>
    <w:rsid w:val="2E331C8F"/>
    <w:rsid w:val="2E3C12F8"/>
    <w:rsid w:val="2E4A7695"/>
    <w:rsid w:val="2E61515A"/>
    <w:rsid w:val="2E6F28BA"/>
    <w:rsid w:val="2E7D68FA"/>
    <w:rsid w:val="2E8A2F5C"/>
    <w:rsid w:val="2EE26B9D"/>
    <w:rsid w:val="2EEF239B"/>
    <w:rsid w:val="2F131B64"/>
    <w:rsid w:val="2F1A79B2"/>
    <w:rsid w:val="2F9031C9"/>
    <w:rsid w:val="2FCC70D8"/>
    <w:rsid w:val="2FDF60C1"/>
    <w:rsid w:val="302C1E05"/>
    <w:rsid w:val="307F6510"/>
    <w:rsid w:val="307F76B3"/>
    <w:rsid w:val="309F4A50"/>
    <w:rsid w:val="30B85EDF"/>
    <w:rsid w:val="30E273D5"/>
    <w:rsid w:val="311F1E9F"/>
    <w:rsid w:val="31871F90"/>
    <w:rsid w:val="31A3609D"/>
    <w:rsid w:val="31A574A8"/>
    <w:rsid w:val="31BF5DD5"/>
    <w:rsid w:val="31C3729A"/>
    <w:rsid w:val="31F8192B"/>
    <w:rsid w:val="32114431"/>
    <w:rsid w:val="322D2CB4"/>
    <w:rsid w:val="32933866"/>
    <w:rsid w:val="32983192"/>
    <w:rsid w:val="32B243FE"/>
    <w:rsid w:val="32D108F1"/>
    <w:rsid w:val="32D43850"/>
    <w:rsid w:val="33A73A6E"/>
    <w:rsid w:val="33A91A06"/>
    <w:rsid w:val="33D608B3"/>
    <w:rsid w:val="33EE45A0"/>
    <w:rsid w:val="341A178E"/>
    <w:rsid w:val="34360EE0"/>
    <w:rsid w:val="34520027"/>
    <w:rsid w:val="34524EB7"/>
    <w:rsid w:val="3455668C"/>
    <w:rsid w:val="345C23B7"/>
    <w:rsid w:val="348859FE"/>
    <w:rsid w:val="34DA4A3E"/>
    <w:rsid w:val="34E15892"/>
    <w:rsid w:val="34EA322D"/>
    <w:rsid w:val="3511435E"/>
    <w:rsid w:val="355431A7"/>
    <w:rsid w:val="357525C9"/>
    <w:rsid w:val="35933AE6"/>
    <w:rsid w:val="35A858FB"/>
    <w:rsid w:val="35AB6C71"/>
    <w:rsid w:val="35C25411"/>
    <w:rsid w:val="35D25DC6"/>
    <w:rsid w:val="35ED61F6"/>
    <w:rsid w:val="35FD1A71"/>
    <w:rsid w:val="36137A13"/>
    <w:rsid w:val="368E7BB6"/>
    <w:rsid w:val="36A408E8"/>
    <w:rsid w:val="36AD40BA"/>
    <w:rsid w:val="36D7269E"/>
    <w:rsid w:val="3737610F"/>
    <w:rsid w:val="374D5432"/>
    <w:rsid w:val="37507B97"/>
    <w:rsid w:val="376800F7"/>
    <w:rsid w:val="37970C53"/>
    <w:rsid w:val="37DE233C"/>
    <w:rsid w:val="38291EBE"/>
    <w:rsid w:val="38D3595B"/>
    <w:rsid w:val="397321E5"/>
    <w:rsid w:val="39734ED9"/>
    <w:rsid w:val="397A0C97"/>
    <w:rsid w:val="399120D1"/>
    <w:rsid w:val="39C24964"/>
    <w:rsid w:val="39E1431B"/>
    <w:rsid w:val="3A0E62A5"/>
    <w:rsid w:val="3A170417"/>
    <w:rsid w:val="3A657A4A"/>
    <w:rsid w:val="3A7F469D"/>
    <w:rsid w:val="3A9C47F5"/>
    <w:rsid w:val="3B4A7624"/>
    <w:rsid w:val="3BCC7916"/>
    <w:rsid w:val="3C272250"/>
    <w:rsid w:val="3C5E58C4"/>
    <w:rsid w:val="3C720321"/>
    <w:rsid w:val="3C7A2CE2"/>
    <w:rsid w:val="3C7E7DD7"/>
    <w:rsid w:val="3CB4373A"/>
    <w:rsid w:val="3CE076D7"/>
    <w:rsid w:val="3CEB7B3A"/>
    <w:rsid w:val="3CF303F6"/>
    <w:rsid w:val="3D2C717E"/>
    <w:rsid w:val="3DC24A10"/>
    <w:rsid w:val="3DC4107E"/>
    <w:rsid w:val="3E04466D"/>
    <w:rsid w:val="3E0502C1"/>
    <w:rsid w:val="3E3D5C2B"/>
    <w:rsid w:val="3E6F5648"/>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0F64C9"/>
    <w:rsid w:val="41265416"/>
    <w:rsid w:val="412B1E92"/>
    <w:rsid w:val="413A6B31"/>
    <w:rsid w:val="4140798F"/>
    <w:rsid w:val="414E1C42"/>
    <w:rsid w:val="41517023"/>
    <w:rsid w:val="416E066D"/>
    <w:rsid w:val="41815E1D"/>
    <w:rsid w:val="42155935"/>
    <w:rsid w:val="423E4ED9"/>
    <w:rsid w:val="426E267A"/>
    <w:rsid w:val="429E4C20"/>
    <w:rsid w:val="431B2170"/>
    <w:rsid w:val="43375BBF"/>
    <w:rsid w:val="433C5FBA"/>
    <w:rsid w:val="43960FD8"/>
    <w:rsid w:val="43D50FEC"/>
    <w:rsid w:val="43D910F0"/>
    <w:rsid w:val="43F62BC1"/>
    <w:rsid w:val="449C66AF"/>
    <w:rsid w:val="44C96627"/>
    <w:rsid w:val="44CB088F"/>
    <w:rsid w:val="44F57E99"/>
    <w:rsid w:val="45065B38"/>
    <w:rsid w:val="45150771"/>
    <w:rsid w:val="45232568"/>
    <w:rsid w:val="452471A3"/>
    <w:rsid w:val="454476BE"/>
    <w:rsid w:val="454756A0"/>
    <w:rsid w:val="45847093"/>
    <w:rsid w:val="45B97A14"/>
    <w:rsid w:val="461B7A3A"/>
    <w:rsid w:val="46274B13"/>
    <w:rsid w:val="4653609C"/>
    <w:rsid w:val="46CC256C"/>
    <w:rsid w:val="46E36A7D"/>
    <w:rsid w:val="46EB6384"/>
    <w:rsid w:val="47045DC3"/>
    <w:rsid w:val="477D0A2F"/>
    <w:rsid w:val="47A82FFD"/>
    <w:rsid w:val="47B701F5"/>
    <w:rsid w:val="47EB56E1"/>
    <w:rsid w:val="4849005D"/>
    <w:rsid w:val="48545ACA"/>
    <w:rsid w:val="48654977"/>
    <w:rsid w:val="488C6E75"/>
    <w:rsid w:val="48C321F4"/>
    <w:rsid w:val="48D151DA"/>
    <w:rsid w:val="48DE5B50"/>
    <w:rsid w:val="48FF0DFE"/>
    <w:rsid w:val="49123AB5"/>
    <w:rsid w:val="494220CF"/>
    <w:rsid w:val="496D023D"/>
    <w:rsid w:val="49AD72D9"/>
    <w:rsid w:val="49BF2265"/>
    <w:rsid w:val="49CA4591"/>
    <w:rsid w:val="49E715B9"/>
    <w:rsid w:val="4A7D48B5"/>
    <w:rsid w:val="4AE2074A"/>
    <w:rsid w:val="4AE35FAB"/>
    <w:rsid w:val="4B044DB0"/>
    <w:rsid w:val="4B074861"/>
    <w:rsid w:val="4C2131E6"/>
    <w:rsid w:val="4C2E7F1D"/>
    <w:rsid w:val="4C7B3A6C"/>
    <w:rsid w:val="4C8009A3"/>
    <w:rsid w:val="4C802AA6"/>
    <w:rsid w:val="4C810DB1"/>
    <w:rsid w:val="4CA5688D"/>
    <w:rsid w:val="4D0647E6"/>
    <w:rsid w:val="4D3D6ABF"/>
    <w:rsid w:val="4D5B71EC"/>
    <w:rsid w:val="4D895B83"/>
    <w:rsid w:val="4D9469FD"/>
    <w:rsid w:val="4DC14920"/>
    <w:rsid w:val="4E111275"/>
    <w:rsid w:val="4E2D74E1"/>
    <w:rsid w:val="4E824F9D"/>
    <w:rsid w:val="4EC876AA"/>
    <w:rsid w:val="4EDD08E9"/>
    <w:rsid w:val="4EFC718B"/>
    <w:rsid w:val="4F0768BB"/>
    <w:rsid w:val="4F114B96"/>
    <w:rsid w:val="4F2308EF"/>
    <w:rsid w:val="4F294268"/>
    <w:rsid w:val="4F346A97"/>
    <w:rsid w:val="4F480852"/>
    <w:rsid w:val="4FDA7BA2"/>
    <w:rsid w:val="5005280C"/>
    <w:rsid w:val="5019752A"/>
    <w:rsid w:val="5034385D"/>
    <w:rsid w:val="5075485B"/>
    <w:rsid w:val="508839C8"/>
    <w:rsid w:val="50E13B71"/>
    <w:rsid w:val="51010F22"/>
    <w:rsid w:val="51104F77"/>
    <w:rsid w:val="519B3F7B"/>
    <w:rsid w:val="51A96058"/>
    <w:rsid w:val="51B313CC"/>
    <w:rsid w:val="51BB3C0C"/>
    <w:rsid w:val="51E66290"/>
    <w:rsid w:val="52647CD1"/>
    <w:rsid w:val="526F3518"/>
    <w:rsid w:val="52734AE4"/>
    <w:rsid w:val="52C502EF"/>
    <w:rsid w:val="52CB3657"/>
    <w:rsid w:val="52CD5DE0"/>
    <w:rsid w:val="532A692B"/>
    <w:rsid w:val="533A041D"/>
    <w:rsid w:val="53F1227E"/>
    <w:rsid w:val="541D29D0"/>
    <w:rsid w:val="5423436B"/>
    <w:rsid w:val="54300A57"/>
    <w:rsid w:val="54572A05"/>
    <w:rsid w:val="54F31C70"/>
    <w:rsid w:val="55427F71"/>
    <w:rsid w:val="557F73BB"/>
    <w:rsid w:val="55831B3D"/>
    <w:rsid w:val="55C256B9"/>
    <w:rsid w:val="55EC0C5F"/>
    <w:rsid w:val="55FD46C1"/>
    <w:rsid w:val="565F67C7"/>
    <w:rsid w:val="56A74288"/>
    <w:rsid w:val="56E055F3"/>
    <w:rsid w:val="5711697C"/>
    <w:rsid w:val="57403FA8"/>
    <w:rsid w:val="57B15E3E"/>
    <w:rsid w:val="582F3C6B"/>
    <w:rsid w:val="583C7C54"/>
    <w:rsid w:val="58405AF6"/>
    <w:rsid w:val="58454E73"/>
    <w:rsid w:val="58670BFF"/>
    <w:rsid w:val="588474F5"/>
    <w:rsid w:val="58920818"/>
    <w:rsid w:val="58F41895"/>
    <w:rsid w:val="59537CF9"/>
    <w:rsid w:val="59645864"/>
    <w:rsid w:val="596B1600"/>
    <w:rsid w:val="597F2EC3"/>
    <w:rsid w:val="59891419"/>
    <w:rsid w:val="59B43932"/>
    <w:rsid w:val="59E143BB"/>
    <w:rsid w:val="5A2550C5"/>
    <w:rsid w:val="5A2E718C"/>
    <w:rsid w:val="5A4254B1"/>
    <w:rsid w:val="5A5C77D1"/>
    <w:rsid w:val="5AAD5E70"/>
    <w:rsid w:val="5AB604F1"/>
    <w:rsid w:val="5AC5455E"/>
    <w:rsid w:val="5ADA30D5"/>
    <w:rsid w:val="5B0046C9"/>
    <w:rsid w:val="5B33720F"/>
    <w:rsid w:val="5B355FC0"/>
    <w:rsid w:val="5BD20AD2"/>
    <w:rsid w:val="5C873088"/>
    <w:rsid w:val="5CAA0E77"/>
    <w:rsid w:val="5D9233EA"/>
    <w:rsid w:val="5DBF0E47"/>
    <w:rsid w:val="5DC45DBE"/>
    <w:rsid w:val="5DC5615F"/>
    <w:rsid w:val="5E1A1C2C"/>
    <w:rsid w:val="5E320D32"/>
    <w:rsid w:val="5E3A23A6"/>
    <w:rsid w:val="5E40400B"/>
    <w:rsid w:val="5E426981"/>
    <w:rsid w:val="5E7F0481"/>
    <w:rsid w:val="5E8B2D52"/>
    <w:rsid w:val="5EA722F0"/>
    <w:rsid w:val="5F6D0C22"/>
    <w:rsid w:val="5F995AAB"/>
    <w:rsid w:val="5FF330FC"/>
    <w:rsid w:val="601C418A"/>
    <w:rsid w:val="60312EBD"/>
    <w:rsid w:val="60496D39"/>
    <w:rsid w:val="6092785E"/>
    <w:rsid w:val="60A14E0E"/>
    <w:rsid w:val="60BB6BBF"/>
    <w:rsid w:val="6135784E"/>
    <w:rsid w:val="61403A29"/>
    <w:rsid w:val="623E0A93"/>
    <w:rsid w:val="6240174B"/>
    <w:rsid w:val="62490A5A"/>
    <w:rsid w:val="626605A8"/>
    <w:rsid w:val="627737C8"/>
    <w:rsid w:val="629457A8"/>
    <w:rsid w:val="62A43AF9"/>
    <w:rsid w:val="63354556"/>
    <w:rsid w:val="635B75BD"/>
    <w:rsid w:val="63710425"/>
    <w:rsid w:val="637512DF"/>
    <w:rsid w:val="637E23A2"/>
    <w:rsid w:val="638920E0"/>
    <w:rsid w:val="63A177C9"/>
    <w:rsid w:val="63C4679E"/>
    <w:rsid w:val="642379C5"/>
    <w:rsid w:val="642E15AE"/>
    <w:rsid w:val="64531F05"/>
    <w:rsid w:val="64640EBE"/>
    <w:rsid w:val="64D34B2D"/>
    <w:rsid w:val="64E5679F"/>
    <w:rsid w:val="651376B7"/>
    <w:rsid w:val="653A02CF"/>
    <w:rsid w:val="65560103"/>
    <w:rsid w:val="656649C4"/>
    <w:rsid w:val="659F630C"/>
    <w:rsid w:val="65B16FA4"/>
    <w:rsid w:val="65D67393"/>
    <w:rsid w:val="65D93B1D"/>
    <w:rsid w:val="663650FC"/>
    <w:rsid w:val="663C25E1"/>
    <w:rsid w:val="666F013A"/>
    <w:rsid w:val="66BC0E05"/>
    <w:rsid w:val="67230D95"/>
    <w:rsid w:val="672A3BCD"/>
    <w:rsid w:val="6730516A"/>
    <w:rsid w:val="68216299"/>
    <w:rsid w:val="686660AE"/>
    <w:rsid w:val="688F2809"/>
    <w:rsid w:val="68A74FD6"/>
    <w:rsid w:val="68AE41F3"/>
    <w:rsid w:val="692861FC"/>
    <w:rsid w:val="693037E7"/>
    <w:rsid w:val="69343E26"/>
    <w:rsid w:val="695A5B5C"/>
    <w:rsid w:val="697F74A7"/>
    <w:rsid w:val="698C0ED7"/>
    <w:rsid w:val="699B2B73"/>
    <w:rsid w:val="69A770EA"/>
    <w:rsid w:val="6A021E17"/>
    <w:rsid w:val="6A333B72"/>
    <w:rsid w:val="6A4F71C1"/>
    <w:rsid w:val="6A563F89"/>
    <w:rsid w:val="6A6C2EB7"/>
    <w:rsid w:val="6A8B66E0"/>
    <w:rsid w:val="6AA80864"/>
    <w:rsid w:val="6AA90889"/>
    <w:rsid w:val="6AB9328C"/>
    <w:rsid w:val="6AED15E9"/>
    <w:rsid w:val="6AF0115C"/>
    <w:rsid w:val="6B156E29"/>
    <w:rsid w:val="6B3B6FA0"/>
    <w:rsid w:val="6B424351"/>
    <w:rsid w:val="6B5E436A"/>
    <w:rsid w:val="6B7D189E"/>
    <w:rsid w:val="6BB74F29"/>
    <w:rsid w:val="6BBD5648"/>
    <w:rsid w:val="6C080D3A"/>
    <w:rsid w:val="6C2B6830"/>
    <w:rsid w:val="6C32195E"/>
    <w:rsid w:val="6C912E54"/>
    <w:rsid w:val="6CAB2DE1"/>
    <w:rsid w:val="6D0A3E25"/>
    <w:rsid w:val="6D0E73EA"/>
    <w:rsid w:val="6D3B5643"/>
    <w:rsid w:val="6D6546FD"/>
    <w:rsid w:val="6D953261"/>
    <w:rsid w:val="6DA84EE1"/>
    <w:rsid w:val="6DB71F15"/>
    <w:rsid w:val="6E00353C"/>
    <w:rsid w:val="6E1B5725"/>
    <w:rsid w:val="6E7B1D76"/>
    <w:rsid w:val="6F011566"/>
    <w:rsid w:val="6F255023"/>
    <w:rsid w:val="6F6E592F"/>
    <w:rsid w:val="6FCB6592"/>
    <w:rsid w:val="70A402CF"/>
    <w:rsid w:val="70C839A5"/>
    <w:rsid w:val="71490590"/>
    <w:rsid w:val="7165302F"/>
    <w:rsid w:val="717F0A9B"/>
    <w:rsid w:val="719666A3"/>
    <w:rsid w:val="719D173D"/>
    <w:rsid w:val="723E5444"/>
    <w:rsid w:val="72472BE1"/>
    <w:rsid w:val="72F56F08"/>
    <w:rsid w:val="72FD347C"/>
    <w:rsid w:val="73004BD7"/>
    <w:rsid w:val="731C5C06"/>
    <w:rsid w:val="73211019"/>
    <w:rsid w:val="73462E37"/>
    <w:rsid w:val="7365736C"/>
    <w:rsid w:val="738439C5"/>
    <w:rsid w:val="73C96D17"/>
    <w:rsid w:val="73DB594F"/>
    <w:rsid w:val="73EE6EFF"/>
    <w:rsid w:val="73F27731"/>
    <w:rsid w:val="74020E0D"/>
    <w:rsid w:val="74687F9F"/>
    <w:rsid w:val="74842034"/>
    <w:rsid w:val="74C374EF"/>
    <w:rsid w:val="750760F8"/>
    <w:rsid w:val="75162487"/>
    <w:rsid w:val="756B3D78"/>
    <w:rsid w:val="75EE58CB"/>
    <w:rsid w:val="761210AA"/>
    <w:rsid w:val="764019AD"/>
    <w:rsid w:val="765B3933"/>
    <w:rsid w:val="767C5C18"/>
    <w:rsid w:val="769D0054"/>
    <w:rsid w:val="76C11445"/>
    <w:rsid w:val="774D5183"/>
    <w:rsid w:val="776B6348"/>
    <w:rsid w:val="77A05FF6"/>
    <w:rsid w:val="77A5662A"/>
    <w:rsid w:val="77D5124E"/>
    <w:rsid w:val="77DF3816"/>
    <w:rsid w:val="77E56BAE"/>
    <w:rsid w:val="77EA63A3"/>
    <w:rsid w:val="78503AFC"/>
    <w:rsid w:val="78797974"/>
    <w:rsid w:val="78992E53"/>
    <w:rsid w:val="7945193E"/>
    <w:rsid w:val="797B2BE8"/>
    <w:rsid w:val="799F5CAA"/>
    <w:rsid w:val="79C55BAD"/>
    <w:rsid w:val="79D67130"/>
    <w:rsid w:val="79D70E4C"/>
    <w:rsid w:val="79EB0AE8"/>
    <w:rsid w:val="7A0F3949"/>
    <w:rsid w:val="7A44619D"/>
    <w:rsid w:val="7AC13FB3"/>
    <w:rsid w:val="7B127C9C"/>
    <w:rsid w:val="7BA01253"/>
    <w:rsid w:val="7BEE2E75"/>
    <w:rsid w:val="7C213321"/>
    <w:rsid w:val="7C2408DA"/>
    <w:rsid w:val="7C584AB6"/>
    <w:rsid w:val="7C8901FC"/>
    <w:rsid w:val="7CB81C44"/>
    <w:rsid w:val="7CE10A11"/>
    <w:rsid w:val="7CE43AFB"/>
    <w:rsid w:val="7CEC5144"/>
    <w:rsid w:val="7D262131"/>
    <w:rsid w:val="7D916B14"/>
    <w:rsid w:val="7DE24624"/>
    <w:rsid w:val="7DF031D2"/>
    <w:rsid w:val="7DF1189C"/>
    <w:rsid w:val="7DFA3191"/>
    <w:rsid w:val="7DFD664F"/>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10</Pages>
  <Words>615</Words>
  <Characters>3508</Characters>
  <Lines>29</Lines>
  <Paragraphs>8</Paragraphs>
  <TotalTime>0</TotalTime>
  <ScaleCrop>false</ScaleCrop>
  <LinksUpToDate>false</LinksUpToDate>
  <CharactersWithSpaces>4115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2022-10-20T02:11:00Z</cp:lastPrinted>
  <dcterms:modified xsi:type="dcterms:W3CDTF">2022-12-05T10:37:13Z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