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仿宋_GB2312" w:eastAsia="黑体" w:cs="仿宋_GB2312"/>
          <w:sz w:val="72"/>
          <w:szCs w:val="72"/>
          <w:highlight w:val="none"/>
        </w:rPr>
      </w:pPr>
    </w:p>
    <w:p>
      <w:pPr>
        <w:jc w:val="both"/>
        <w:rPr>
          <w:rFonts w:ascii="黑体" w:hAnsi="仿宋_GB2312" w:eastAsia="黑体" w:cs="仿宋_GB2312"/>
          <w:sz w:val="52"/>
          <w:szCs w:val="52"/>
          <w:highlight w:val="none"/>
        </w:rPr>
      </w:pPr>
    </w:p>
    <w:p>
      <w:pPr>
        <w:jc w:val="center"/>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rPr>
        <w:t>察隅县</w:t>
      </w:r>
      <w:r>
        <w:rPr>
          <w:rFonts w:hint="eastAsia" w:ascii="方正小标宋简体" w:hAnsi="方正小标宋简体" w:eastAsia="方正小标宋简体" w:cs="方正小标宋简体"/>
          <w:b/>
          <w:bCs/>
          <w:sz w:val="44"/>
          <w:szCs w:val="44"/>
          <w:highlight w:val="none"/>
          <w:lang w:eastAsia="zh-CN"/>
        </w:rPr>
        <w:t>自然资源局</w:t>
      </w:r>
    </w:p>
    <w:p>
      <w:pPr>
        <w:jc w:val="center"/>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rPr>
        <w:t>202</w:t>
      </w:r>
      <w:r>
        <w:rPr>
          <w:rFonts w:hint="eastAsia" w:ascii="方正小标宋简体" w:hAnsi="方正小标宋简体" w:eastAsia="方正小标宋简体" w:cs="方正小标宋简体"/>
          <w:b/>
          <w:bCs/>
          <w:sz w:val="44"/>
          <w:szCs w:val="44"/>
          <w:highlight w:val="none"/>
          <w:lang w:val="en-US" w:eastAsia="zh-CN"/>
        </w:rPr>
        <w:t>1</w:t>
      </w:r>
      <w:r>
        <w:rPr>
          <w:rFonts w:hint="eastAsia" w:ascii="方正小标宋简体" w:hAnsi="方正小标宋简体" w:eastAsia="方正小标宋简体" w:cs="方正小标宋简体"/>
          <w:b/>
          <w:bCs/>
          <w:sz w:val="44"/>
          <w:szCs w:val="44"/>
          <w:highlight w:val="none"/>
        </w:rPr>
        <w:t>年度部门决算公开</w:t>
      </w:r>
    </w:p>
    <w:p>
      <w:pPr>
        <w:jc w:val="center"/>
        <w:rPr>
          <w:rFonts w:ascii="黑体" w:hAnsi="仿宋_GB2312" w:eastAsia="黑体" w:cs="仿宋_GB2312"/>
          <w:sz w:val="44"/>
          <w:szCs w:val="44"/>
          <w:highlight w:val="none"/>
        </w:rPr>
      </w:pPr>
    </w:p>
    <w:p>
      <w:pPr>
        <w:jc w:val="center"/>
        <w:rPr>
          <w:rFonts w:ascii="黑体" w:hAnsi="仿宋_GB2312" w:eastAsia="黑体" w:cs="仿宋_GB2312"/>
          <w:sz w:val="44"/>
          <w:szCs w:val="44"/>
          <w:highlight w:val="none"/>
        </w:rPr>
      </w:pPr>
    </w:p>
    <w:p>
      <w:pPr>
        <w:jc w:val="center"/>
        <w:rPr>
          <w:rFonts w:ascii="黑体" w:hAnsi="仿宋_GB2312" w:eastAsia="黑体" w:cs="仿宋_GB2312"/>
          <w:sz w:val="44"/>
          <w:szCs w:val="44"/>
          <w:highlight w:val="none"/>
        </w:rPr>
      </w:pPr>
    </w:p>
    <w:p>
      <w:pPr>
        <w:jc w:val="center"/>
        <w:rPr>
          <w:rFonts w:ascii="黑体" w:hAnsi="仿宋_GB2312" w:eastAsia="黑体" w:cs="仿宋_GB2312"/>
          <w:sz w:val="44"/>
          <w:szCs w:val="44"/>
          <w:highlight w:val="none"/>
        </w:rPr>
      </w:pPr>
    </w:p>
    <w:p>
      <w:pPr>
        <w:jc w:val="center"/>
        <w:rPr>
          <w:rFonts w:ascii="黑体" w:hAnsi="仿宋_GB2312" w:eastAsia="黑体" w:cs="仿宋_GB2312"/>
          <w:sz w:val="44"/>
          <w:szCs w:val="44"/>
          <w:highlight w:val="none"/>
        </w:rPr>
      </w:pPr>
    </w:p>
    <w:p>
      <w:pPr>
        <w:jc w:val="center"/>
        <w:rPr>
          <w:rFonts w:ascii="黑体" w:hAnsi="仿宋_GB2312" w:eastAsia="黑体" w:cs="仿宋_GB2312"/>
          <w:sz w:val="44"/>
          <w:szCs w:val="44"/>
          <w:highlight w:val="none"/>
        </w:rPr>
      </w:pPr>
    </w:p>
    <w:p>
      <w:pPr>
        <w:jc w:val="center"/>
        <w:rPr>
          <w:rFonts w:ascii="黑体" w:hAnsi="仿宋_GB2312" w:eastAsia="黑体" w:cs="仿宋_GB2312"/>
          <w:sz w:val="44"/>
          <w:szCs w:val="44"/>
          <w:highlight w:val="none"/>
        </w:rPr>
      </w:pPr>
    </w:p>
    <w:p>
      <w:pPr>
        <w:rPr>
          <w:rFonts w:ascii="黑体" w:hAnsi="仿宋_GB2312" w:eastAsia="黑体" w:cs="仿宋_GB2312"/>
          <w:sz w:val="44"/>
          <w:szCs w:val="44"/>
          <w:highlight w:val="none"/>
        </w:rPr>
      </w:pPr>
    </w:p>
    <w:p>
      <w:pPr>
        <w:rPr>
          <w:rFonts w:ascii="黑体" w:hAnsi="仿宋_GB2312" w:eastAsia="黑体" w:cs="仿宋_GB2312"/>
          <w:sz w:val="44"/>
          <w:szCs w:val="44"/>
          <w:highlight w:val="none"/>
        </w:rPr>
      </w:pPr>
    </w:p>
    <w:p>
      <w:pPr>
        <w:rPr>
          <w:rFonts w:ascii="黑体" w:hAnsi="仿宋_GB2312" w:eastAsia="黑体" w:cs="仿宋_GB2312"/>
          <w:sz w:val="44"/>
          <w:szCs w:val="44"/>
          <w:highlight w:val="none"/>
        </w:rPr>
      </w:pPr>
    </w:p>
    <w:p>
      <w:pPr>
        <w:rPr>
          <w:rFonts w:ascii="黑体" w:hAnsi="仿宋_GB2312" w:eastAsia="黑体" w:cs="仿宋_GB2312"/>
          <w:sz w:val="44"/>
          <w:szCs w:val="44"/>
          <w:highlight w:val="none"/>
        </w:rPr>
      </w:pPr>
    </w:p>
    <w:p>
      <w:pPr>
        <w:rPr>
          <w:rFonts w:ascii="黑体" w:hAnsi="仿宋_GB2312" w:eastAsia="黑体" w:cs="仿宋_GB2312"/>
          <w:sz w:val="44"/>
          <w:szCs w:val="44"/>
          <w:highlight w:val="none"/>
        </w:rPr>
      </w:pPr>
    </w:p>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日</w:t>
      </w:r>
    </w:p>
    <w:p>
      <w:pPr>
        <w:rPr>
          <w:rFonts w:ascii="黑体" w:hAnsi="仿宋_GB2312" w:eastAsia="黑体" w:cs="仿宋_GB2312"/>
          <w:sz w:val="44"/>
          <w:szCs w:val="44"/>
          <w:highlight w:val="none"/>
        </w:rPr>
      </w:pPr>
    </w:p>
    <w:p>
      <w:pPr>
        <w:rPr>
          <w:rFonts w:ascii="黑体" w:hAnsi="仿宋_GB2312" w:eastAsia="黑体" w:cs="仿宋_GB2312"/>
          <w:sz w:val="44"/>
          <w:szCs w:val="44"/>
          <w:highlight w:val="none"/>
        </w:rPr>
      </w:pPr>
    </w:p>
    <w:p>
      <w:pPr>
        <w:rPr>
          <w:rFonts w:ascii="黑体" w:hAnsi="仿宋_GB2312" w:eastAsia="黑体" w:cs="仿宋_GB2312"/>
          <w:sz w:val="44"/>
          <w:szCs w:val="44"/>
          <w:highlight w:val="none"/>
        </w:rPr>
      </w:pPr>
    </w:p>
    <w:p>
      <w:pPr>
        <w:jc w:val="center"/>
        <w:rPr>
          <w:rFonts w:hint="eastAsia" w:ascii="方正小标宋简体" w:hAnsi="方正小标宋简体" w:eastAsia="方正小标宋简体" w:cs="方正小标宋简体"/>
          <w:sz w:val="44"/>
          <w:szCs w:val="44"/>
          <w:highlight w:val="none"/>
        </w:rPr>
      </w:pPr>
    </w:p>
    <w:p>
      <w:pPr>
        <w:jc w:val="center"/>
        <w:rPr>
          <w:rFonts w:hint="eastAsia" w:ascii="方正小标宋简体" w:hAnsi="方正小标宋简体" w:eastAsia="方正小标宋简体" w:cs="方正小标宋简体"/>
          <w:sz w:val="44"/>
          <w:szCs w:val="44"/>
          <w:highlight w:val="none"/>
        </w:rPr>
      </w:pP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目 录</w:t>
      </w:r>
    </w:p>
    <w:p>
      <w:pPr>
        <w:jc w:val="center"/>
        <w:rPr>
          <w:rFonts w:hint="eastAsia" w:ascii="黑体" w:hAnsi="仿宋_GB2312" w:eastAsia="黑体" w:cs="仿宋_GB2312"/>
          <w:sz w:val="36"/>
          <w:szCs w:val="36"/>
          <w:highlight w:val="none"/>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highlight w:val="none"/>
        </w:rPr>
      </w:pPr>
      <w:r>
        <w:rPr>
          <w:rFonts w:hint="eastAsia" w:ascii="黑体" w:hAnsi="黑体" w:eastAsia="黑体" w:cs="黑体"/>
          <w:b w:val="0"/>
          <w:bCs/>
          <w:snapToGrid w:val="0"/>
          <w:w w:val="95"/>
          <w:kern w:val="0"/>
          <w:sz w:val="32"/>
          <w:szCs w:val="32"/>
          <w:highlight w:val="none"/>
        </w:rPr>
        <w:t>第一部分 察隅县</w:t>
      </w:r>
      <w:r>
        <w:rPr>
          <w:rFonts w:hint="eastAsia" w:ascii="黑体" w:hAnsi="黑体" w:eastAsia="黑体" w:cs="黑体"/>
          <w:b w:val="0"/>
          <w:bCs/>
          <w:snapToGrid w:val="0"/>
          <w:w w:val="95"/>
          <w:kern w:val="0"/>
          <w:sz w:val="32"/>
          <w:szCs w:val="32"/>
          <w:highlight w:val="none"/>
          <w:lang w:eastAsia="zh-CN"/>
        </w:rPr>
        <w:t>自然资源局</w:t>
      </w:r>
      <w:r>
        <w:rPr>
          <w:rFonts w:hint="eastAsia" w:ascii="黑体" w:hAnsi="黑体" w:eastAsia="黑体" w:cs="黑体"/>
          <w:b w:val="0"/>
          <w:bCs/>
          <w:snapToGrid w:val="0"/>
          <w:w w:val="95"/>
          <w:kern w:val="0"/>
          <w:sz w:val="32"/>
          <w:szCs w:val="32"/>
          <w:highlight w:val="none"/>
        </w:rPr>
        <w:t>概况</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eastAsia="zh-CN"/>
        </w:rPr>
        <w:t>一、</w:t>
      </w:r>
      <w:r>
        <w:rPr>
          <w:rFonts w:hint="eastAsia" w:ascii="仿宋_GB2312" w:hAnsi="仿宋_GB2312" w:eastAsia="仿宋_GB2312" w:cs="仿宋_GB2312"/>
          <w:bCs/>
          <w:sz w:val="32"/>
          <w:szCs w:val="32"/>
          <w:highlight w:val="none"/>
        </w:rPr>
        <w:t>部门</w:t>
      </w:r>
      <w:r>
        <w:rPr>
          <w:rFonts w:hint="eastAsia" w:ascii="仿宋_GB2312" w:hAnsi="仿宋_GB2312" w:eastAsia="仿宋_GB2312" w:cs="仿宋_GB2312"/>
          <w:bCs/>
          <w:sz w:val="32"/>
          <w:szCs w:val="32"/>
          <w:highlight w:val="none"/>
          <w:lang w:eastAsia="zh-CN"/>
        </w:rPr>
        <w:t>职责</w:t>
      </w: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二、</w:t>
      </w:r>
      <w:r>
        <w:rPr>
          <w:rFonts w:hint="eastAsia" w:ascii="仿宋_GB2312" w:hAnsi="仿宋_GB2312" w:eastAsia="仿宋_GB2312" w:cs="仿宋_GB2312"/>
          <w:bCs/>
          <w:sz w:val="32"/>
          <w:szCs w:val="32"/>
          <w:highlight w:val="none"/>
        </w:rPr>
        <w:t>机构设置</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highlight w:val="none"/>
        </w:rPr>
      </w:pPr>
      <w:r>
        <w:rPr>
          <w:rFonts w:hint="eastAsia" w:ascii="黑体" w:hAnsi="黑体" w:eastAsia="黑体" w:cs="黑体"/>
          <w:b w:val="0"/>
          <w:bCs/>
          <w:snapToGrid w:val="0"/>
          <w:w w:val="95"/>
          <w:kern w:val="0"/>
          <w:sz w:val="32"/>
          <w:szCs w:val="32"/>
          <w:highlight w:val="none"/>
        </w:rPr>
        <w:t>第二部分 察隅县</w:t>
      </w:r>
      <w:r>
        <w:rPr>
          <w:rFonts w:hint="eastAsia" w:ascii="黑体" w:hAnsi="黑体" w:eastAsia="黑体" w:cs="黑体"/>
          <w:b w:val="0"/>
          <w:bCs/>
          <w:snapToGrid w:val="0"/>
          <w:w w:val="95"/>
          <w:kern w:val="0"/>
          <w:sz w:val="32"/>
          <w:szCs w:val="32"/>
          <w:highlight w:val="none"/>
          <w:lang w:eastAsia="zh-CN"/>
        </w:rPr>
        <w:t>自然资源局</w:t>
      </w:r>
      <w:r>
        <w:rPr>
          <w:rFonts w:hint="eastAsia" w:ascii="黑体" w:hAnsi="黑体" w:eastAsia="黑体" w:cs="黑体"/>
          <w:b w:val="0"/>
          <w:bCs/>
          <w:snapToGrid w:val="0"/>
          <w:w w:val="95"/>
          <w:kern w:val="0"/>
          <w:sz w:val="32"/>
          <w:szCs w:val="32"/>
          <w:highlight w:val="none"/>
        </w:rPr>
        <w:t>202</w:t>
      </w:r>
      <w:r>
        <w:rPr>
          <w:rFonts w:hint="eastAsia" w:ascii="黑体" w:hAnsi="黑体" w:eastAsia="黑体" w:cs="黑体"/>
          <w:b w:val="0"/>
          <w:bCs/>
          <w:snapToGrid w:val="0"/>
          <w:w w:val="95"/>
          <w:kern w:val="0"/>
          <w:sz w:val="32"/>
          <w:szCs w:val="32"/>
          <w:highlight w:val="none"/>
          <w:lang w:val="en-US" w:eastAsia="zh-CN"/>
        </w:rPr>
        <w:t>1</w:t>
      </w:r>
      <w:r>
        <w:rPr>
          <w:rFonts w:hint="eastAsia" w:ascii="黑体" w:hAnsi="黑体" w:eastAsia="黑体" w:cs="黑体"/>
          <w:b w:val="0"/>
          <w:bCs/>
          <w:snapToGrid w:val="0"/>
          <w:w w:val="95"/>
          <w:kern w:val="0"/>
          <w:sz w:val="32"/>
          <w:szCs w:val="32"/>
          <w:highlight w:val="none"/>
        </w:rPr>
        <w:t xml:space="preserve">年度部门决算明细表 </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一、收入支出决算总表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二、收入决算总表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四、财政拨款</w:t>
      </w:r>
      <w:r>
        <w:rPr>
          <w:rFonts w:hint="eastAsia" w:ascii="仿宋_GB2312" w:hAnsi="仿宋_GB2312" w:eastAsia="仿宋_GB2312" w:cs="仿宋_GB2312"/>
          <w:sz w:val="32"/>
          <w:szCs w:val="32"/>
          <w:highlight w:val="none"/>
          <w:lang w:eastAsia="zh-CN"/>
        </w:rPr>
        <w:t>收入支出</w:t>
      </w:r>
      <w:r>
        <w:rPr>
          <w:rFonts w:hint="eastAsia" w:ascii="仿宋_GB2312" w:hAnsi="仿宋_GB2312" w:eastAsia="仿宋_GB2312" w:cs="仿宋_GB2312"/>
          <w:sz w:val="32"/>
          <w:szCs w:val="32"/>
          <w:highlight w:val="none"/>
        </w:rPr>
        <w:t>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五、一般公共预算财政拨款支出决算表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六、一般公共预算财政拨款基本支出决算表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七、一般公共预算财政拨款“三公”经费支出决算表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八、政府性基金预算财政拨款</w:t>
      </w:r>
      <w:r>
        <w:rPr>
          <w:rFonts w:hint="eastAsia" w:ascii="仿宋_GB2312" w:hAnsi="仿宋_GB2312" w:eastAsia="仿宋_GB2312" w:cs="仿宋_GB2312"/>
          <w:sz w:val="32"/>
          <w:szCs w:val="32"/>
          <w:highlight w:val="none"/>
          <w:lang w:eastAsia="zh-CN"/>
        </w:rPr>
        <w:t>收入支出</w:t>
      </w:r>
      <w:r>
        <w:rPr>
          <w:rFonts w:hint="eastAsia" w:ascii="仿宋_GB2312" w:hAnsi="仿宋_GB2312" w:eastAsia="仿宋_GB2312" w:cs="仿宋_GB2312"/>
          <w:sz w:val="32"/>
          <w:szCs w:val="32"/>
          <w:highlight w:val="none"/>
        </w:rPr>
        <w:t>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九、国有资本经营预算财政拨款支出决算表</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highlight w:val="none"/>
        </w:rPr>
      </w:pPr>
      <w:r>
        <w:rPr>
          <w:rFonts w:hint="eastAsia" w:ascii="黑体" w:hAnsi="黑体" w:eastAsia="黑体" w:cs="黑体"/>
          <w:b w:val="0"/>
          <w:bCs/>
          <w:snapToGrid w:val="0"/>
          <w:w w:val="95"/>
          <w:kern w:val="0"/>
          <w:sz w:val="32"/>
          <w:szCs w:val="32"/>
          <w:highlight w:val="none"/>
        </w:rPr>
        <w:t>第三部分 察隅县</w:t>
      </w:r>
      <w:r>
        <w:rPr>
          <w:rFonts w:hint="eastAsia" w:ascii="黑体" w:hAnsi="黑体" w:eastAsia="黑体" w:cs="黑体"/>
          <w:b w:val="0"/>
          <w:bCs/>
          <w:snapToGrid w:val="0"/>
          <w:w w:val="95"/>
          <w:kern w:val="0"/>
          <w:sz w:val="32"/>
          <w:szCs w:val="32"/>
          <w:highlight w:val="none"/>
          <w:lang w:eastAsia="zh-CN"/>
        </w:rPr>
        <w:t>自然资源局</w:t>
      </w:r>
      <w:r>
        <w:rPr>
          <w:rFonts w:hint="eastAsia" w:ascii="黑体" w:hAnsi="黑体" w:eastAsia="黑体" w:cs="黑体"/>
          <w:b w:val="0"/>
          <w:bCs/>
          <w:snapToGrid w:val="0"/>
          <w:w w:val="95"/>
          <w:kern w:val="0"/>
          <w:sz w:val="32"/>
          <w:szCs w:val="32"/>
          <w:highlight w:val="none"/>
        </w:rPr>
        <w:t>202</w:t>
      </w:r>
      <w:r>
        <w:rPr>
          <w:rFonts w:hint="eastAsia" w:ascii="黑体" w:hAnsi="黑体" w:eastAsia="黑体" w:cs="黑体"/>
          <w:b w:val="0"/>
          <w:bCs/>
          <w:snapToGrid w:val="0"/>
          <w:w w:val="95"/>
          <w:kern w:val="0"/>
          <w:sz w:val="32"/>
          <w:szCs w:val="32"/>
          <w:highlight w:val="none"/>
          <w:lang w:val="en-US" w:eastAsia="zh-CN"/>
        </w:rPr>
        <w:t>1</w:t>
      </w:r>
      <w:r>
        <w:rPr>
          <w:rFonts w:hint="eastAsia" w:ascii="黑体" w:hAnsi="黑体" w:eastAsia="黑体" w:cs="黑体"/>
          <w:b w:val="0"/>
          <w:bCs/>
          <w:snapToGrid w:val="0"/>
          <w:w w:val="95"/>
          <w:kern w:val="0"/>
          <w:sz w:val="32"/>
          <w:szCs w:val="32"/>
          <w:highlight w:val="none"/>
        </w:rPr>
        <w:t>年度部门决算数据说明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highlight w:val="none"/>
        </w:rPr>
      </w:pPr>
      <w:r>
        <w:rPr>
          <w:rFonts w:hint="eastAsia" w:ascii="仿宋_GB2312" w:eastAsia="仿宋_GB2312"/>
          <w:sz w:val="32"/>
          <w:szCs w:val="32"/>
          <w:highlight w:val="none"/>
        </w:rPr>
        <w:t>一、收入支出</w:t>
      </w:r>
      <w:r>
        <w:rPr>
          <w:rFonts w:hint="eastAsia" w:ascii="仿宋_GB2312" w:hAnsi="仿宋_GB2312" w:eastAsia="仿宋_GB2312" w:cs="仿宋_GB2312"/>
          <w:sz w:val="32"/>
          <w:szCs w:val="32"/>
          <w:highlight w:val="none"/>
        </w:rPr>
        <w:t>决算</w:t>
      </w:r>
      <w:r>
        <w:rPr>
          <w:rFonts w:hint="eastAsia" w:ascii="仿宋_GB2312" w:eastAsia="仿宋_GB2312"/>
          <w:sz w:val="32"/>
          <w:szCs w:val="32"/>
          <w:highlight w:val="none"/>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highlight w:val="none"/>
        </w:rPr>
      </w:pPr>
      <w:r>
        <w:rPr>
          <w:rFonts w:hint="eastAsia" w:ascii="仿宋_GB2312" w:eastAsia="仿宋_GB2312"/>
          <w:sz w:val="32"/>
          <w:szCs w:val="32"/>
          <w:highlight w:val="none"/>
        </w:rPr>
        <w:t>二、收入</w:t>
      </w:r>
      <w:r>
        <w:rPr>
          <w:rFonts w:hint="eastAsia" w:ascii="仿宋_GB2312" w:hAnsi="仿宋_GB2312" w:eastAsia="仿宋_GB2312" w:cs="仿宋_GB2312"/>
          <w:sz w:val="32"/>
          <w:szCs w:val="32"/>
          <w:highlight w:val="none"/>
        </w:rPr>
        <w:t>决算</w:t>
      </w:r>
      <w:r>
        <w:rPr>
          <w:rFonts w:hint="eastAsia" w:ascii="仿宋_GB2312" w:eastAsia="仿宋_GB2312"/>
          <w:sz w:val="32"/>
          <w:szCs w:val="32"/>
          <w:highlight w:val="none"/>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highlight w:val="none"/>
        </w:rPr>
      </w:pPr>
      <w:r>
        <w:rPr>
          <w:rFonts w:hint="eastAsia" w:ascii="仿宋_GB2312" w:eastAsia="仿宋_GB2312"/>
          <w:sz w:val="32"/>
          <w:szCs w:val="32"/>
          <w:highlight w:val="none"/>
        </w:rPr>
        <w:t>三、支出</w:t>
      </w:r>
      <w:r>
        <w:rPr>
          <w:rFonts w:hint="eastAsia" w:ascii="仿宋_GB2312" w:hAnsi="仿宋_GB2312" w:eastAsia="仿宋_GB2312" w:cs="仿宋_GB2312"/>
          <w:sz w:val="32"/>
          <w:szCs w:val="32"/>
          <w:highlight w:val="none"/>
        </w:rPr>
        <w:t>决算</w:t>
      </w:r>
      <w:r>
        <w:rPr>
          <w:rFonts w:hint="eastAsia" w:ascii="仿宋_GB2312" w:eastAsia="仿宋_GB2312"/>
          <w:sz w:val="32"/>
          <w:szCs w:val="32"/>
          <w:highlight w:val="none"/>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highlight w:val="none"/>
        </w:rPr>
      </w:pPr>
      <w:r>
        <w:rPr>
          <w:rFonts w:hint="eastAsia" w:ascii="仿宋_GB2312" w:eastAsia="仿宋_GB2312"/>
          <w:sz w:val="32"/>
          <w:szCs w:val="32"/>
          <w:highlight w:val="none"/>
        </w:rPr>
        <w:t>四、财政拨款收入支出</w:t>
      </w:r>
      <w:r>
        <w:rPr>
          <w:rFonts w:hint="eastAsia" w:ascii="仿宋_GB2312" w:hAnsi="仿宋_GB2312" w:eastAsia="仿宋_GB2312" w:cs="仿宋_GB2312"/>
          <w:sz w:val="32"/>
          <w:szCs w:val="32"/>
          <w:highlight w:val="none"/>
        </w:rPr>
        <w:t>决算</w:t>
      </w:r>
      <w:r>
        <w:rPr>
          <w:rFonts w:hint="eastAsia" w:ascii="仿宋_GB2312" w:eastAsia="仿宋_GB2312"/>
          <w:sz w:val="32"/>
          <w:szCs w:val="32"/>
          <w:highlight w:val="none"/>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highlight w:val="none"/>
        </w:rPr>
      </w:pPr>
      <w:r>
        <w:rPr>
          <w:rFonts w:hint="eastAsia" w:ascii="仿宋_GB2312" w:eastAsia="仿宋_GB2312"/>
          <w:sz w:val="32"/>
          <w:szCs w:val="32"/>
          <w:highlight w:val="none"/>
        </w:rPr>
        <w:t>五、一般公共预算财政拨款支出</w:t>
      </w:r>
      <w:r>
        <w:rPr>
          <w:rFonts w:hint="eastAsia" w:ascii="仿宋_GB2312" w:hAnsi="仿宋_GB2312" w:eastAsia="仿宋_GB2312" w:cs="仿宋_GB2312"/>
          <w:sz w:val="32"/>
          <w:szCs w:val="32"/>
          <w:highlight w:val="none"/>
        </w:rPr>
        <w:t>决算</w:t>
      </w:r>
      <w:r>
        <w:rPr>
          <w:rFonts w:hint="eastAsia" w:ascii="仿宋_GB2312" w:eastAsia="仿宋_GB2312"/>
          <w:sz w:val="32"/>
          <w:szCs w:val="32"/>
          <w:highlight w:val="none"/>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highlight w:val="none"/>
        </w:rPr>
      </w:pPr>
      <w:r>
        <w:rPr>
          <w:rFonts w:hint="eastAsia" w:ascii="仿宋_GB2312" w:eastAsia="仿宋_GB2312"/>
          <w:sz w:val="32"/>
          <w:szCs w:val="32"/>
          <w:highlight w:val="none"/>
        </w:rPr>
        <w:t>六、一般公共预算财政拨款基本支出</w:t>
      </w:r>
      <w:r>
        <w:rPr>
          <w:rFonts w:hint="eastAsia" w:ascii="仿宋_GB2312" w:hAnsi="仿宋_GB2312" w:eastAsia="仿宋_GB2312" w:cs="仿宋_GB2312"/>
          <w:sz w:val="32"/>
          <w:szCs w:val="32"/>
          <w:highlight w:val="none"/>
        </w:rPr>
        <w:t>决算</w:t>
      </w:r>
      <w:r>
        <w:rPr>
          <w:rFonts w:hint="eastAsia" w:ascii="仿宋_GB2312" w:eastAsia="仿宋_GB2312"/>
          <w:sz w:val="32"/>
          <w:szCs w:val="32"/>
          <w:highlight w:val="none"/>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highlight w:val="none"/>
        </w:rPr>
      </w:pPr>
      <w:r>
        <w:rPr>
          <w:rFonts w:hint="eastAsia" w:ascii="仿宋_GB2312" w:eastAsia="仿宋_GB2312"/>
          <w:sz w:val="32"/>
          <w:szCs w:val="32"/>
          <w:highlight w:val="none"/>
        </w:rPr>
        <w:t>七、一般公共预算财政拨款“三公”经费支出</w:t>
      </w:r>
      <w:r>
        <w:rPr>
          <w:rFonts w:hint="eastAsia" w:ascii="仿宋_GB2312" w:hAnsi="仿宋_GB2312" w:eastAsia="仿宋_GB2312" w:cs="仿宋_GB2312"/>
          <w:sz w:val="32"/>
          <w:szCs w:val="32"/>
          <w:highlight w:val="none"/>
        </w:rPr>
        <w:t>决算</w:t>
      </w:r>
      <w:r>
        <w:rPr>
          <w:rFonts w:hint="eastAsia" w:ascii="仿宋_GB2312" w:eastAsia="仿宋_GB2312"/>
          <w:sz w:val="32"/>
          <w:szCs w:val="32"/>
          <w:highlight w:val="none"/>
        </w:rPr>
        <w:t>情况说明</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八、政府性基金预算财政拨款</w:t>
      </w:r>
      <w:r>
        <w:rPr>
          <w:rFonts w:hint="eastAsia" w:ascii="仿宋_GB2312" w:hAnsi="仿宋_GB2312" w:eastAsia="仿宋_GB2312" w:cs="仿宋_GB2312"/>
          <w:sz w:val="32"/>
          <w:szCs w:val="32"/>
          <w:highlight w:val="none"/>
          <w:lang w:eastAsia="zh-CN"/>
        </w:rPr>
        <w:t>收入支出</w:t>
      </w:r>
      <w:r>
        <w:rPr>
          <w:rFonts w:hint="eastAsia" w:ascii="仿宋_GB2312" w:hAnsi="仿宋_GB2312" w:eastAsia="仿宋_GB2312" w:cs="仿宋_GB2312"/>
          <w:sz w:val="32"/>
          <w:szCs w:val="32"/>
          <w:highlight w:val="none"/>
        </w:rPr>
        <w:t>决算</w:t>
      </w:r>
      <w:r>
        <w:rPr>
          <w:rFonts w:hint="eastAsia" w:ascii="仿宋_GB2312" w:hAnsi="仿宋_GB2312" w:eastAsia="仿宋_GB2312" w:cs="仿宋_GB2312"/>
          <w:sz w:val="32"/>
          <w:szCs w:val="32"/>
          <w:highlight w:val="none"/>
          <w:lang w:eastAsia="zh-CN"/>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highlight w:val="none"/>
        </w:rPr>
      </w:pPr>
      <w:r>
        <w:rPr>
          <w:rFonts w:hint="eastAsia" w:ascii="仿宋_GB2312" w:hAnsi="仿宋_GB2312" w:eastAsia="仿宋_GB2312" w:cs="仿宋_GB2312"/>
          <w:sz w:val="32"/>
          <w:szCs w:val="32"/>
          <w:highlight w:val="none"/>
          <w:lang w:eastAsia="zh-CN"/>
        </w:rPr>
        <w:t>九、国有资本经营预算财政拨款支出决算情况说明</w:t>
      </w:r>
      <w:r>
        <w:rPr>
          <w:rFonts w:hint="eastAsia" w:ascii="仿宋_GB2312" w:hAnsi="仿宋_GB2312" w:eastAsia="仿宋_GB2312" w:cs="仿宋_GB2312"/>
          <w:sz w:val="32"/>
          <w:szCs w:val="32"/>
          <w:highlight w:val="none"/>
          <w:lang w:eastAsia="zh-CN"/>
        </w:rPr>
        <w:br w:type="textWrapping"/>
      </w:r>
      <w:r>
        <w:rPr>
          <w:rFonts w:hint="eastAsia" w:ascii="仿宋_GB2312" w:eastAsia="仿宋_GB2312"/>
          <w:sz w:val="32"/>
          <w:szCs w:val="32"/>
          <w:highlight w:val="none"/>
          <w:lang w:eastAsia="zh-CN"/>
        </w:rPr>
        <w:t>十</w:t>
      </w:r>
      <w:r>
        <w:rPr>
          <w:rFonts w:hint="eastAsia" w:ascii="仿宋_GB2312" w:eastAsia="仿宋_GB2312"/>
          <w:sz w:val="32"/>
          <w:szCs w:val="32"/>
          <w:highlight w:val="none"/>
        </w:rPr>
        <w:t>、其他重要事项情况说明</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highlight w:val="none"/>
        </w:rPr>
      </w:pPr>
      <w:r>
        <w:rPr>
          <w:rFonts w:hint="eastAsia" w:ascii="黑体" w:hAnsi="黑体" w:eastAsia="黑体" w:cs="黑体"/>
          <w:b w:val="0"/>
          <w:bCs/>
          <w:snapToGrid w:val="0"/>
          <w:w w:val="95"/>
          <w:kern w:val="0"/>
          <w:sz w:val="32"/>
          <w:szCs w:val="32"/>
          <w:highlight w:val="none"/>
        </w:rPr>
        <w:t>第四部分  名词解释</w:t>
      </w:r>
    </w:p>
    <w:p>
      <w:pPr>
        <w:spacing w:after="0" w:line="560" w:lineRule="exact"/>
        <w:jc w:val="both"/>
        <w:rPr>
          <w:rFonts w:ascii="仿宋_GB2312" w:hAnsi="黑体" w:eastAsia="仿宋_GB2312" w:cs="黑体"/>
          <w:bCs/>
          <w:snapToGrid w:val="0"/>
          <w:w w:val="95"/>
          <w:sz w:val="32"/>
          <w:szCs w:val="32"/>
          <w:highlight w:val="none"/>
        </w:rPr>
      </w:pPr>
      <w:r>
        <w:rPr>
          <w:rFonts w:hint="eastAsia" w:ascii="仿宋_GB2312" w:hAnsi="黑体" w:eastAsia="仿宋_GB2312" w:cs="黑体"/>
          <w:bCs/>
          <w:snapToGrid w:val="0"/>
          <w:w w:val="95"/>
          <w:sz w:val="32"/>
          <w:szCs w:val="32"/>
          <w:highlight w:val="none"/>
        </w:rPr>
        <w:t>附件：</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napToGrid w:val="0"/>
          <w:w w:val="95"/>
          <w:sz w:val="32"/>
          <w:szCs w:val="32"/>
          <w:highlight w:val="none"/>
          <w:lang w:eastAsia="zh-CN"/>
        </w:rPr>
      </w:pPr>
      <w:r>
        <w:rPr>
          <w:rFonts w:hint="eastAsia" w:ascii="仿宋_GB2312" w:hAnsi="仿宋_GB2312" w:eastAsia="仿宋_GB2312" w:cs="仿宋_GB2312"/>
          <w:snapToGrid w:val="0"/>
          <w:w w:val="95"/>
          <w:sz w:val="32"/>
          <w:szCs w:val="32"/>
          <w:highlight w:val="none"/>
        </w:rPr>
        <w:t>202</w:t>
      </w:r>
      <w:r>
        <w:rPr>
          <w:rFonts w:hint="eastAsia" w:ascii="仿宋_GB2312" w:hAnsi="仿宋_GB2312" w:eastAsia="仿宋_GB2312" w:cs="仿宋_GB2312"/>
          <w:snapToGrid w:val="0"/>
          <w:w w:val="95"/>
          <w:sz w:val="32"/>
          <w:szCs w:val="32"/>
          <w:highlight w:val="none"/>
          <w:lang w:val="en-US" w:eastAsia="zh-CN"/>
        </w:rPr>
        <w:t>1</w:t>
      </w:r>
      <w:r>
        <w:rPr>
          <w:rFonts w:hint="eastAsia" w:ascii="仿宋_GB2312" w:hAnsi="仿宋_GB2312" w:eastAsia="仿宋_GB2312" w:cs="仿宋_GB2312"/>
          <w:snapToGrid w:val="0"/>
          <w:w w:val="95"/>
          <w:sz w:val="32"/>
          <w:szCs w:val="32"/>
          <w:highlight w:val="none"/>
        </w:rPr>
        <w:t>年度部门</w:t>
      </w:r>
      <w:r>
        <w:rPr>
          <w:rFonts w:hint="eastAsia" w:ascii="仿宋_GB2312" w:hAnsi="仿宋_GB2312" w:eastAsia="仿宋_GB2312" w:cs="仿宋_GB2312"/>
          <w:snapToGrid w:val="0"/>
          <w:w w:val="95"/>
          <w:sz w:val="32"/>
          <w:szCs w:val="32"/>
          <w:highlight w:val="none"/>
          <w:lang w:eastAsia="zh-CN"/>
        </w:rPr>
        <w:t>决算</w:t>
      </w:r>
      <w:r>
        <w:rPr>
          <w:rFonts w:hint="eastAsia" w:ascii="仿宋_GB2312" w:hAnsi="仿宋_GB2312" w:eastAsia="仿宋_GB2312" w:cs="仿宋_GB2312"/>
          <w:snapToGrid w:val="0"/>
          <w:w w:val="95"/>
          <w:sz w:val="32"/>
          <w:szCs w:val="32"/>
          <w:highlight w:val="none"/>
        </w:rPr>
        <w:t>明细表</w:t>
      </w:r>
      <w:r>
        <w:rPr>
          <w:rFonts w:hint="eastAsia" w:ascii="仿宋_GB2312" w:hAnsi="仿宋_GB2312" w:eastAsia="仿宋_GB2312" w:cs="仿宋_GB2312"/>
          <w:snapToGrid w:val="0"/>
          <w:w w:val="95"/>
          <w:sz w:val="32"/>
          <w:szCs w:val="32"/>
          <w:highlight w:val="none"/>
          <w:lang w:eastAsia="zh-CN"/>
        </w:rPr>
        <w:t>（含</w:t>
      </w:r>
      <w:r>
        <w:rPr>
          <w:rFonts w:hint="eastAsia" w:ascii="仿宋_GB2312" w:hAnsi="仿宋_GB2312" w:eastAsia="仿宋_GB2312" w:cs="仿宋_GB2312"/>
          <w:snapToGrid w:val="0"/>
          <w:w w:val="95"/>
          <w:sz w:val="32"/>
          <w:szCs w:val="32"/>
          <w:highlight w:val="none"/>
          <w:lang w:val="en-US" w:eastAsia="zh-CN"/>
        </w:rPr>
        <w:t>九张表</w:t>
      </w:r>
      <w:r>
        <w:rPr>
          <w:rFonts w:hint="eastAsia" w:ascii="仿宋_GB2312" w:hAnsi="仿宋_GB2312" w:eastAsia="仿宋_GB2312" w:cs="仿宋_GB2312"/>
          <w:snapToGrid w:val="0"/>
          <w:w w:val="95"/>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480" w:lineRule="exact"/>
        <w:jc w:val="both"/>
        <w:textAlignment w:val="auto"/>
        <w:rPr>
          <w:rFonts w:hint="eastAsia" w:ascii="方正小标宋简体" w:hAnsi="方正小标宋简体" w:eastAsia="方正小标宋简体" w:cs="方正小标宋简体"/>
          <w:bCs/>
          <w:sz w:val="44"/>
          <w:szCs w:val="44"/>
          <w:highlight w:val="none"/>
        </w:rPr>
      </w:pPr>
      <w:r>
        <w:rPr>
          <w:rFonts w:hint="eastAsia" w:ascii="仿宋_GB2312" w:hAnsi="仿宋_GB2312" w:eastAsia="仿宋_GB2312" w:cs="仿宋_GB2312"/>
          <w:snapToGrid w:val="0"/>
          <w:w w:val="95"/>
          <w:sz w:val="32"/>
          <w:szCs w:val="32"/>
          <w:highlight w:val="none"/>
          <w:lang w:val="en-US" w:eastAsia="zh-CN"/>
        </w:rPr>
        <w:t>2.2021年度部门整体支出绩效评价报告及绩效评价体系评分表</w:t>
      </w:r>
    </w:p>
    <w:p>
      <w:pPr>
        <w:keepNext w:val="0"/>
        <w:keepLines w:val="0"/>
        <w:pageBreakBefore w:val="0"/>
        <w:widowControl w:val="0"/>
        <w:numPr>
          <w:ilvl w:val="0"/>
          <w:numId w:val="0"/>
        </w:numPr>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bCs/>
          <w:sz w:val="44"/>
          <w:szCs w:val="44"/>
          <w:highlight w:val="none"/>
        </w:rPr>
      </w:pPr>
    </w:p>
    <w:p>
      <w:pPr>
        <w:keepNext w:val="0"/>
        <w:keepLines w:val="0"/>
        <w:pageBreakBefore w:val="0"/>
        <w:widowControl w:val="0"/>
        <w:numPr>
          <w:ilvl w:val="0"/>
          <w:numId w:val="0"/>
        </w:numPr>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bCs/>
          <w:sz w:val="44"/>
          <w:szCs w:val="44"/>
          <w:highlight w:val="none"/>
        </w:rPr>
      </w:pPr>
    </w:p>
    <w:p>
      <w:pPr>
        <w:keepNext w:val="0"/>
        <w:keepLines w:val="0"/>
        <w:pageBreakBefore w:val="0"/>
        <w:widowControl w:val="0"/>
        <w:numPr>
          <w:ilvl w:val="0"/>
          <w:numId w:val="0"/>
        </w:numPr>
        <w:kinsoku/>
        <w:wordWrap/>
        <w:overflowPunct/>
        <w:topLinePunct w:val="0"/>
        <w:autoSpaceDE/>
        <w:autoSpaceDN/>
        <w:bidi w:val="0"/>
        <w:spacing w:line="480" w:lineRule="exact"/>
        <w:jc w:val="left"/>
        <w:textAlignment w:val="auto"/>
        <w:rPr>
          <w:rFonts w:hint="eastAsia" w:ascii="方正小标宋简体" w:hAnsi="方正小标宋简体" w:eastAsia="方正小标宋简体" w:cs="方正小标宋简体"/>
          <w:bCs/>
          <w:sz w:val="44"/>
          <w:szCs w:val="44"/>
          <w:highlight w:val="none"/>
        </w:rPr>
        <w:sectPr>
          <w:pgSz w:w="11906" w:h="16838"/>
          <w:pgMar w:top="1440" w:right="1800" w:bottom="1440" w:left="1800" w:header="708" w:footer="708" w:gutter="0"/>
          <w:pgNumType w:fmt="numberInDash"/>
          <w:cols w:space="708" w:num="1"/>
          <w:docGrid w:linePitch="360" w:charSpace="0"/>
        </w:sectPr>
      </w:pPr>
    </w:p>
    <w:p>
      <w:pPr>
        <w:numPr>
          <w:ilvl w:val="0"/>
          <w:numId w:val="2"/>
        </w:numPr>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察隅县</w:t>
      </w:r>
      <w:r>
        <w:rPr>
          <w:rFonts w:hint="eastAsia" w:ascii="方正小标宋简体" w:hAnsi="方正小标宋简体" w:eastAsia="方正小标宋简体" w:cs="方正小标宋简体"/>
          <w:bCs/>
          <w:sz w:val="44"/>
          <w:szCs w:val="44"/>
          <w:highlight w:val="none"/>
          <w:lang w:eastAsia="zh-CN"/>
        </w:rPr>
        <w:t>自然资源局</w:t>
      </w:r>
      <w:r>
        <w:rPr>
          <w:rFonts w:hint="eastAsia" w:ascii="方正小标宋简体" w:hAnsi="方正小标宋简体" w:eastAsia="方正小标宋简体" w:cs="方正小标宋简体"/>
          <w:bCs/>
          <w:sz w:val="44"/>
          <w:szCs w:val="44"/>
          <w:highlight w:val="none"/>
        </w:rPr>
        <w:t>概况</w:t>
      </w:r>
    </w:p>
    <w:p>
      <w:pPr>
        <w:numPr>
          <w:ilvl w:val="0"/>
          <w:numId w:val="0"/>
        </w:numPr>
        <w:jc w:val="both"/>
        <w:rPr>
          <w:rFonts w:hint="eastAsia" w:ascii="黑体" w:hAnsi="仿宋_GB2312" w:eastAsia="黑体" w:cs="仿宋_GB2312"/>
          <w:bCs/>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rPr>
        <w:t>一、</w:t>
      </w:r>
      <w:r>
        <w:rPr>
          <w:rFonts w:hint="eastAsia" w:ascii="黑体" w:hAnsi="黑体" w:eastAsia="黑体"/>
          <w:sz w:val="32"/>
          <w:szCs w:val="32"/>
          <w:highlight w:val="none"/>
          <w:lang w:eastAsia="zh-CN"/>
        </w:rPr>
        <w:t>部门职责</w:t>
      </w:r>
    </w:p>
    <w:p>
      <w:pPr>
        <w:spacing w:line="560" w:lineRule="exact"/>
        <w:ind w:firstLine="645"/>
        <w:rPr>
          <w:rFonts w:ascii="仿宋_GB2312" w:eastAsia="仿宋_GB2312"/>
          <w:sz w:val="32"/>
          <w:highlight w:val="none"/>
        </w:rPr>
      </w:pPr>
      <w:r>
        <w:rPr>
          <w:rFonts w:hint="eastAsia" w:ascii="仿宋_GB2312" w:eastAsia="仿宋_GB2312"/>
          <w:sz w:val="32"/>
          <w:highlight w:val="none"/>
        </w:rPr>
        <w:t>（一）取消已由国务院、自治区人民政府、地区行政公署，县人民政府公布取消的行政审批事项。</w:t>
      </w:r>
    </w:p>
    <w:p>
      <w:pPr>
        <w:spacing w:line="560" w:lineRule="exact"/>
        <w:ind w:firstLine="645"/>
        <w:rPr>
          <w:rFonts w:ascii="仿宋_GB2312" w:eastAsia="仿宋_GB2312"/>
          <w:sz w:val="32"/>
          <w:highlight w:val="none"/>
        </w:rPr>
      </w:pPr>
      <w:r>
        <w:rPr>
          <w:rFonts w:hint="eastAsia" w:ascii="仿宋_GB2312" w:eastAsia="仿宋_GB2312"/>
          <w:sz w:val="32"/>
          <w:highlight w:val="none"/>
        </w:rPr>
        <w:t>（二）将土地评估、矿业权评估、矿产资源储量评审机构和人员资质认定职责交给行业协会。</w:t>
      </w:r>
    </w:p>
    <w:p>
      <w:pPr>
        <w:spacing w:line="560" w:lineRule="exact"/>
        <w:ind w:firstLine="660"/>
        <w:rPr>
          <w:rFonts w:ascii="仿宋_GB2312" w:eastAsia="仿宋_GB2312"/>
          <w:sz w:val="32"/>
          <w:highlight w:val="none"/>
        </w:rPr>
      </w:pPr>
      <w:r>
        <w:rPr>
          <w:rFonts w:hint="eastAsia" w:ascii="仿宋_GB2312" w:eastAsia="仿宋_GB2312"/>
          <w:sz w:val="32"/>
          <w:highlight w:val="none"/>
        </w:rPr>
        <w:t>（三）加强土地供需调控和总量平衡，落实最严格的土地管理制度；加强国土规划、土地利用总体规划的整体控制作用；加强矿产资源规划和合理开发利用，强化资源回采率和资源综合利用率的监管。</w:t>
      </w:r>
    </w:p>
    <w:p>
      <w:pPr>
        <w:spacing w:line="560" w:lineRule="exact"/>
        <w:ind w:firstLine="660"/>
        <w:rPr>
          <w:rFonts w:ascii="黑体" w:hAnsi="华文中宋" w:eastAsia="黑体"/>
          <w:sz w:val="32"/>
          <w:highlight w:val="none"/>
        </w:rPr>
      </w:pPr>
      <w:r>
        <w:rPr>
          <w:rFonts w:hint="eastAsia" w:ascii="黑体" w:hAnsi="华文中宋" w:eastAsia="黑体"/>
          <w:sz w:val="32"/>
          <w:highlight w:val="none"/>
        </w:rPr>
        <w:t>二、主要职责</w:t>
      </w:r>
    </w:p>
    <w:p>
      <w:pPr>
        <w:spacing w:line="560" w:lineRule="exact"/>
        <w:ind w:firstLine="640" w:firstLineChars="200"/>
        <w:rPr>
          <w:rFonts w:ascii="仿宋_GB2312" w:hAnsi="华文中宋" w:eastAsia="仿宋_GB2312"/>
          <w:sz w:val="32"/>
          <w:highlight w:val="none"/>
        </w:rPr>
      </w:pPr>
      <w:r>
        <w:rPr>
          <w:rFonts w:hint="eastAsia" w:ascii="仿宋_GB2312" w:hAnsi="华文中宋" w:eastAsia="仿宋_GB2312"/>
          <w:sz w:val="32"/>
          <w:highlight w:val="none"/>
        </w:rPr>
        <w:t>（一）承担规范国土资源管理秩序的责任。贯彻执行国家和自治区有关土地、矿产、测绘管理的法律法规和方针、政策；拟订本县有关规范性文件并组织实施；负责有关行政处罚听证和行政复议。</w:t>
      </w:r>
    </w:p>
    <w:p>
      <w:pPr>
        <w:spacing w:line="560" w:lineRule="exact"/>
        <w:ind w:firstLine="640" w:firstLineChars="200"/>
        <w:rPr>
          <w:rFonts w:ascii="仿宋_GB2312" w:hAnsi="华文中宋" w:eastAsia="仿宋_GB2312"/>
          <w:sz w:val="32"/>
          <w:highlight w:val="none"/>
        </w:rPr>
      </w:pPr>
      <w:r>
        <w:rPr>
          <w:rFonts w:hint="eastAsia" w:ascii="仿宋_GB2312" w:hAnsi="华文中宋" w:eastAsia="仿宋_GB2312"/>
          <w:sz w:val="32"/>
          <w:highlight w:val="none"/>
        </w:rPr>
        <w:t>（二）承担优化配置国土资源的责任。编制和实施全县国土规划、土地利用规划、矿产资源利用和保护规划、测绘工作规划、地质勘查规划、地质灾害防治和地质遗迹保护规划；编制全县年度土地利用计划；参与报自治区政府和地区行政公署审批的城市总体规划和其他相关规划的审核。</w:t>
      </w:r>
    </w:p>
    <w:p>
      <w:pPr>
        <w:spacing w:line="560" w:lineRule="exact"/>
        <w:ind w:firstLine="640" w:firstLineChars="200"/>
        <w:rPr>
          <w:rFonts w:ascii="仿宋_GB2312" w:hAnsi="华文中宋" w:eastAsia="仿宋_GB2312"/>
          <w:sz w:val="32"/>
          <w:highlight w:val="none"/>
        </w:rPr>
      </w:pPr>
      <w:r>
        <w:rPr>
          <w:rFonts w:hint="eastAsia" w:ascii="仿宋_GB2312" w:hAnsi="华文中宋" w:eastAsia="仿宋_GB2312"/>
          <w:sz w:val="32"/>
          <w:highlight w:val="none"/>
        </w:rPr>
        <w:t>（三）负责规范国土资源权属管理。监督检查土地行政执法和土地、矿产资源规划执行情况；统筹协调国土整治工作；依法保护土地、矿产资源所有者和使用者的合法权益，组织调处重大权属纠纷。</w:t>
      </w:r>
    </w:p>
    <w:p>
      <w:pPr>
        <w:spacing w:line="560" w:lineRule="exact"/>
        <w:ind w:firstLine="645"/>
        <w:rPr>
          <w:rFonts w:ascii="仿宋_GB2312" w:hAnsi="华文中宋" w:eastAsia="仿宋_GB2312"/>
          <w:sz w:val="32"/>
          <w:highlight w:val="none"/>
        </w:rPr>
      </w:pPr>
      <w:r>
        <w:rPr>
          <w:rFonts w:hint="eastAsia" w:ascii="仿宋_GB2312" w:hAnsi="华文中宋" w:eastAsia="仿宋_GB2312"/>
          <w:sz w:val="32"/>
          <w:highlight w:val="none"/>
        </w:rPr>
        <w:t>（四）承担全县耕地保护的责任，确保规划确定的耕地保有量和基本农田面积不减少。牵头拟订并实施全县耕地保护政策，组织实施基本农田保护，监督占用耕地补偿制度执行情况；指导未利用土地开发、土地整理、土地复垦和耕地开发的监督工作；组织实施土地用途管制、农用地转用和土地征收征用；承担上报国务院、自治区人民政府和地区行政公署审批的各类用地的报批工作。</w:t>
      </w:r>
    </w:p>
    <w:p>
      <w:pPr>
        <w:spacing w:line="560" w:lineRule="exact"/>
        <w:ind w:firstLine="645"/>
        <w:rPr>
          <w:rFonts w:ascii="仿宋_GB2312" w:hAnsi="华文中宋" w:eastAsia="仿宋_GB2312"/>
          <w:sz w:val="32"/>
          <w:highlight w:val="none"/>
        </w:rPr>
      </w:pPr>
      <w:r>
        <w:rPr>
          <w:rFonts w:hint="eastAsia" w:ascii="仿宋_GB2312" w:hAnsi="华文中宋" w:eastAsia="仿宋_GB2312"/>
          <w:sz w:val="32"/>
          <w:highlight w:val="none"/>
        </w:rPr>
        <w:t>（五）承担及时准确提供全县土地利用各种数据的责任。制定全县地籍管理办法；组织土地资源调查、地籍调查、土地统计和动态监测。</w:t>
      </w:r>
    </w:p>
    <w:p>
      <w:pPr>
        <w:spacing w:line="560" w:lineRule="exact"/>
        <w:rPr>
          <w:rFonts w:ascii="仿宋_GB2312" w:hAnsi="华文中宋" w:eastAsia="仿宋_GB2312"/>
          <w:sz w:val="32"/>
          <w:highlight w:val="none"/>
        </w:rPr>
      </w:pPr>
      <w:r>
        <w:rPr>
          <w:rFonts w:hint="eastAsia" w:ascii="仿宋_GB2312" w:hAnsi="华文中宋" w:eastAsia="仿宋_GB2312"/>
          <w:sz w:val="32"/>
          <w:highlight w:val="none"/>
        </w:rPr>
        <w:t xml:space="preserve">    （六）承担节约利用土地资源的责任。拟订并实施土地开发利用标准，管理和监督城乡建设用地供应、政府土地储备、土地开发和集约利用；拟订土地使用权出让、租赁、作价出资、转让等管理办法，并按规定组织实施；建立基准地价、标定地价等政府公示地价制度；会同农业部门监督管理农村集体建设用地使用权的流转。</w:t>
      </w:r>
    </w:p>
    <w:p>
      <w:pPr>
        <w:spacing w:line="560" w:lineRule="exact"/>
        <w:ind w:firstLine="640" w:firstLineChars="200"/>
        <w:rPr>
          <w:rFonts w:ascii="仿宋_GB2312" w:hAnsi="华文中宋" w:eastAsia="仿宋_GB2312"/>
          <w:sz w:val="32"/>
          <w:highlight w:val="none"/>
        </w:rPr>
      </w:pPr>
      <w:r>
        <w:rPr>
          <w:rFonts w:hint="eastAsia" w:ascii="仿宋_GB2312" w:hAnsi="华文中宋" w:eastAsia="仿宋_GB2312"/>
          <w:sz w:val="32"/>
          <w:highlight w:val="none"/>
        </w:rPr>
        <w:t>（七）承担规范国土资源市场秩序的责任。监测土地市场和建设用地利用情况，监管地价；规范和监管矿业权市场，组织对矿业权人勘查、开采活动进行监督管理；规范和监管国土资源相关社会中介组织和行为，依法查处违法行为。</w:t>
      </w:r>
    </w:p>
    <w:p>
      <w:pPr>
        <w:spacing w:line="560" w:lineRule="exact"/>
        <w:ind w:firstLine="640" w:firstLineChars="200"/>
        <w:rPr>
          <w:rFonts w:ascii="仿宋_GB2312" w:hAnsi="华文中宋" w:eastAsia="仿宋_GB2312"/>
          <w:sz w:val="32"/>
          <w:highlight w:val="none"/>
        </w:rPr>
      </w:pPr>
      <w:r>
        <w:rPr>
          <w:rFonts w:hint="eastAsia" w:ascii="仿宋_GB2312" w:hAnsi="华文中宋" w:eastAsia="仿宋_GB2312"/>
          <w:sz w:val="32"/>
          <w:highlight w:val="none"/>
        </w:rPr>
        <w:t>（八）负责矿产资源开发的管理。依法管理矿业权的审批登记发证和转让审批登记工作；负责全县规划矿区和对国民经济具有重要价值的矿区的管理；承担保护性开采的特定矿种、优势矿产的开采总量控制及相关管理工作。</w:t>
      </w:r>
    </w:p>
    <w:p>
      <w:pPr>
        <w:spacing w:line="560" w:lineRule="exact"/>
        <w:ind w:firstLine="640" w:firstLineChars="200"/>
        <w:rPr>
          <w:rFonts w:ascii="仿宋_GB2312" w:hAnsi="华文中宋" w:eastAsia="仿宋_GB2312"/>
          <w:sz w:val="32"/>
          <w:highlight w:val="none"/>
        </w:rPr>
      </w:pPr>
      <w:r>
        <w:rPr>
          <w:rFonts w:hint="eastAsia" w:ascii="仿宋_GB2312" w:hAnsi="华文中宋" w:eastAsia="仿宋_GB2312"/>
          <w:sz w:val="32"/>
          <w:highlight w:val="none"/>
        </w:rPr>
        <w:t>（九）承担地质环境保护的责任。组织实施矿山地质环境保护，监督管理古生物化石、地质遗迹、矿业遗迹等重要保护区、保护地；依法管理水文地质、工程地质、环境地质勘查和评价工作；监测、监督防止地下水过量开采和污染；承担城市地质、农业地质、旅游地质的勘查、评价工作。</w:t>
      </w:r>
    </w:p>
    <w:p>
      <w:pPr>
        <w:spacing w:line="560" w:lineRule="exact"/>
        <w:ind w:firstLine="640" w:firstLineChars="200"/>
        <w:rPr>
          <w:rFonts w:ascii="仿宋_GB2312" w:hAnsi="华文中宋" w:eastAsia="仿宋_GB2312"/>
          <w:sz w:val="32"/>
          <w:highlight w:val="none"/>
        </w:rPr>
      </w:pPr>
      <w:r>
        <w:rPr>
          <w:rFonts w:hint="eastAsia" w:ascii="仿宋_GB2312" w:hAnsi="华文中宋" w:eastAsia="仿宋_GB2312"/>
          <w:sz w:val="32"/>
          <w:highlight w:val="none"/>
        </w:rPr>
        <w:t>（十）承担地质灾害预防和治理的责任。指导应急处置，组织、协调、指导和监督地质灾害防治工作；制定并组织实施重大地质灾害等国土资源突发事件应急预案。</w:t>
      </w:r>
    </w:p>
    <w:p>
      <w:pPr>
        <w:spacing w:line="560" w:lineRule="exact"/>
        <w:ind w:firstLine="640" w:firstLineChars="200"/>
        <w:rPr>
          <w:rFonts w:ascii="仿宋_GB2312" w:hAnsi="华文中宋" w:eastAsia="仿宋_GB2312"/>
          <w:sz w:val="32"/>
          <w:highlight w:val="none"/>
        </w:rPr>
      </w:pPr>
      <w:r>
        <w:rPr>
          <w:rFonts w:hint="eastAsia" w:ascii="仿宋_GB2312" w:hAnsi="华文中宋" w:eastAsia="仿宋_GB2312"/>
          <w:sz w:val="32"/>
          <w:highlight w:val="none"/>
        </w:rPr>
        <w:t>（十一）依法征收国土资源收益，规范、监督资金使用，拟订土地、矿产资源参与经济调控的政策措施。依法组织土地、矿产资源专项收入的征管；配合有关部门拟订收益分配制度；配合有关部门指导、监督全县土地整理复垦开发资金的收取和使用；依法管理土地、矿产等资源性资产和国家出资形成的矿业权权益，负责有关资金、基金的预算和财务、资产管理与监督。</w:t>
      </w:r>
    </w:p>
    <w:p>
      <w:pPr>
        <w:spacing w:line="560" w:lineRule="exact"/>
        <w:ind w:firstLine="640" w:firstLineChars="200"/>
        <w:rPr>
          <w:rFonts w:ascii="仿宋_GB2312" w:hAnsi="华文中宋" w:eastAsia="仿宋_GB2312"/>
          <w:sz w:val="32"/>
          <w:highlight w:val="none"/>
        </w:rPr>
      </w:pPr>
      <w:r>
        <w:rPr>
          <w:rFonts w:hint="eastAsia" w:ascii="仿宋_GB2312" w:hAnsi="华文中宋" w:eastAsia="仿宋_GB2312"/>
          <w:sz w:val="32"/>
          <w:highlight w:val="none"/>
        </w:rPr>
        <w:t>（十二）推进国土资源科技进步。组织制定、实施全县国土资源科技发展和人才培养计划；按照权限开展国土资源保护和管理方面的对外交流与合作；组织和实施全县国土资源信息化和信息资料的公共服务。</w:t>
      </w:r>
    </w:p>
    <w:p>
      <w:pPr>
        <w:spacing w:line="560" w:lineRule="exact"/>
        <w:ind w:firstLine="640" w:firstLineChars="200"/>
        <w:rPr>
          <w:rFonts w:ascii="仿宋_GB2312" w:eastAsia="仿宋_GB2312"/>
          <w:sz w:val="32"/>
          <w:szCs w:val="32"/>
          <w:highlight w:val="none"/>
        </w:rPr>
      </w:pPr>
      <w:r>
        <w:rPr>
          <w:rFonts w:hint="eastAsia" w:ascii="仿宋_GB2312" w:hAnsi="华文中宋" w:eastAsia="仿宋_GB2312"/>
          <w:sz w:val="32"/>
          <w:highlight w:val="none"/>
        </w:rPr>
        <w:t>(十三)</w:t>
      </w:r>
      <w:r>
        <w:rPr>
          <w:rFonts w:hint="eastAsia" w:ascii="仿宋_GB2312" w:eastAsia="仿宋_GB2312"/>
          <w:sz w:val="32"/>
          <w:szCs w:val="32"/>
          <w:highlight w:val="none"/>
        </w:rPr>
        <w:t xml:space="preserve"> 承办县政府交办的其他事项。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二</w:t>
      </w: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eastAsia="zh-CN"/>
        </w:rPr>
        <w:t>机构设置</w:t>
      </w:r>
      <w:r>
        <w:rPr>
          <w:rFonts w:hint="eastAsia" w:ascii="黑体" w:hAnsi="黑体" w:eastAsia="黑体" w:cs="黑体"/>
          <w:b w:val="0"/>
          <w:bCs/>
          <w:sz w:val="32"/>
          <w:szCs w:val="32"/>
          <w:highlight w:val="none"/>
          <w:lang w:val="en-US" w:eastAsia="zh-CN"/>
        </w:rPr>
        <w:t xml:space="preserve">  </w:t>
      </w:r>
    </w:p>
    <w:p>
      <w:pPr>
        <w:spacing w:line="560" w:lineRule="exact"/>
        <w:ind w:firstLine="640" w:firstLineChars="200"/>
        <w:rPr>
          <w:rFonts w:hint="eastAsia" w:ascii="仿宋_GB2312" w:hAnsi="华文中宋" w:eastAsia="仿宋_GB2312"/>
          <w:sz w:val="32"/>
          <w:highlight w:val="none"/>
          <w:lang w:eastAsia="zh-CN"/>
        </w:rPr>
      </w:pPr>
      <w:r>
        <w:rPr>
          <w:rFonts w:hint="eastAsia" w:ascii="仿宋_GB2312" w:hAnsi="华文中宋" w:eastAsia="仿宋_GB2312"/>
          <w:sz w:val="32"/>
          <w:highlight w:val="none"/>
        </w:rPr>
        <w:t>察隅县国土资源局</w:t>
      </w:r>
      <w:r>
        <w:rPr>
          <w:rFonts w:hint="eastAsia" w:ascii="仿宋_GB2312" w:hAnsi="华文中宋" w:eastAsia="仿宋_GB2312"/>
          <w:sz w:val="32"/>
          <w:highlight w:val="none"/>
          <w:lang w:eastAsia="zh-CN"/>
        </w:rPr>
        <w:t>。</w:t>
      </w:r>
    </w:p>
    <w:p>
      <w:pPr>
        <w:rPr>
          <w:sz w:val="36"/>
          <w:szCs w:val="36"/>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第二部分 察隅县</w:t>
      </w:r>
      <w:r>
        <w:rPr>
          <w:rFonts w:hint="eastAsia" w:ascii="方正小标宋简体" w:hAnsi="方正小标宋简体" w:eastAsia="方正小标宋简体" w:cs="方正小标宋简体"/>
          <w:sz w:val="44"/>
          <w:szCs w:val="44"/>
          <w:highlight w:val="none"/>
          <w:lang w:eastAsia="zh-CN"/>
        </w:rPr>
        <w:t>自然资源局</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1</w:t>
      </w:r>
      <w:r>
        <w:rPr>
          <w:rFonts w:hint="eastAsia" w:ascii="方正小标宋简体" w:hAnsi="方正小标宋简体" w:eastAsia="方正小标宋简体" w:cs="方正小标宋简体"/>
          <w:sz w:val="44"/>
          <w:szCs w:val="44"/>
          <w:highlight w:val="none"/>
        </w:rPr>
        <w:t>年度部门决算明细表（详见附表）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仿宋_GB2312" w:eastAsia="黑体" w:cs="仿宋_GB2312"/>
          <w:sz w:val="32"/>
          <w:szCs w:val="32"/>
          <w:highlight w:val="none"/>
        </w:rPr>
      </w:pPr>
    </w:p>
    <w:p>
      <w:pPr>
        <w:pStyle w:val="8"/>
        <w:keepNext w:val="0"/>
        <w:keepLines w:val="0"/>
        <w:pageBreakBefore w:val="0"/>
        <w:widowControl w:val="0"/>
        <w:kinsoku/>
        <w:wordWrap/>
        <w:overflowPunct/>
        <w:topLinePunct w:val="0"/>
        <w:autoSpaceDE/>
        <w:autoSpaceDN/>
        <w:bidi w:val="0"/>
        <w:adjustRightInd/>
        <w:snapToGrid/>
        <w:spacing w:line="560" w:lineRule="exact"/>
        <w:ind w:left="2200" w:hanging="2200" w:hangingChars="500"/>
        <w:jc w:val="both"/>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第三部分 察隅县</w:t>
      </w:r>
      <w:r>
        <w:rPr>
          <w:rFonts w:hint="eastAsia" w:ascii="方正小标宋简体" w:hAnsi="方正小标宋简体" w:eastAsia="方正小标宋简体" w:cs="方正小标宋简体"/>
          <w:sz w:val="44"/>
          <w:szCs w:val="44"/>
          <w:highlight w:val="none"/>
          <w:lang w:eastAsia="zh-CN"/>
        </w:rPr>
        <w:t>自然资源局</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1</w:t>
      </w:r>
      <w:r>
        <w:rPr>
          <w:rFonts w:hint="eastAsia" w:ascii="方正小标宋简体" w:hAnsi="方正小标宋简体" w:eastAsia="方正小标宋简体" w:cs="方正小标宋简体"/>
          <w:sz w:val="44"/>
          <w:szCs w:val="44"/>
          <w:highlight w:val="none"/>
        </w:rPr>
        <w:t>年度部门决算</w:t>
      </w:r>
      <w:r>
        <w:rPr>
          <w:rFonts w:hint="eastAsia" w:ascii="方正小标宋简体" w:hAnsi="方正小标宋简体" w:eastAsia="方正小标宋简体" w:cs="方正小标宋简体"/>
          <w:sz w:val="44"/>
          <w:szCs w:val="44"/>
          <w:highlight w:val="none"/>
          <w:lang w:eastAsia="zh-CN"/>
        </w:rPr>
        <w:t>情况</w:t>
      </w:r>
      <w:r>
        <w:rPr>
          <w:rFonts w:hint="eastAsia" w:ascii="方正小标宋简体" w:hAnsi="方正小标宋简体" w:eastAsia="方正小标宋简体" w:cs="方正小标宋简体"/>
          <w:sz w:val="44"/>
          <w:szCs w:val="44"/>
          <w:highlight w:val="none"/>
        </w:rPr>
        <w:t>说明</w:t>
      </w:r>
    </w:p>
    <w:p>
      <w:pPr>
        <w:ind w:firstLine="482" w:firstLineChars="150"/>
        <w:jc w:val="left"/>
        <w:rPr>
          <w:rFonts w:hint="eastAsia" w:ascii="仿宋_GB2312" w:eastAsia="仿宋_GB2312"/>
          <w:b/>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jc w:val="left"/>
        <w:textAlignment w:val="auto"/>
        <w:rPr>
          <w:rFonts w:ascii="仿宋_GB2312" w:eastAsia="仿宋_GB2312"/>
          <w:b/>
          <w:sz w:val="32"/>
          <w:szCs w:val="32"/>
          <w:highlight w:val="none"/>
        </w:rPr>
      </w:pPr>
      <w:r>
        <w:rPr>
          <w:rFonts w:hint="eastAsia" w:ascii="仿宋_GB2312" w:eastAsia="仿宋_GB2312"/>
          <w:b/>
          <w:sz w:val="32"/>
          <w:szCs w:val="32"/>
          <w:highlight w:val="none"/>
        </w:rPr>
        <w:t>一、收入支出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总体情况说明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宋体" w:hAnsi="宋体" w:eastAsia="宋体" w:cs="Arial"/>
          <w:color w:val="000000"/>
          <w:kern w:val="0"/>
          <w:sz w:val="22"/>
          <w:highlight w:val="none"/>
        </w:rPr>
      </w:pPr>
      <w:r>
        <w:rPr>
          <w:rFonts w:hint="eastAsia" w:ascii="仿宋_GB2312" w:eastAsia="仿宋_GB2312"/>
          <w:sz w:val="32"/>
          <w:szCs w:val="32"/>
          <w:highlight w:val="none"/>
        </w:rPr>
        <w:t xml:space="preserve">   </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w:t>
      </w:r>
      <w:r>
        <w:rPr>
          <w:rFonts w:hint="eastAsia" w:ascii="仿宋_GB2312" w:eastAsia="仿宋_GB2312"/>
          <w:sz w:val="32"/>
          <w:szCs w:val="32"/>
          <w:highlight w:val="none"/>
          <w:lang w:eastAsia="zh-CN"/>
        </w:rPr>
        <w:t>收支决算总规模为</w:t>
      </w:r>
      <w:r>
        <w:rPr>
          <w:rFonts w:hint="eastAsia" w:ascii="仿宋_GB2312" w:eastAsia="仿宋_GB2312"/>
          <w:sz w:val="32"/>
          <w:szCs w:val="32"/>
          <w:highlight w:val="none"/>
          <w:lang w:val="en-US" w:eastAsia="zh-CN"/>
        </w:rPr>
        <w:t>5,490.73万元，相比上年减少43.95%，主要原因为2021年年初结转和结余资金少于2020年。</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jc w:val="left"/>
        <w:textAlignment w:val="auto"/>
        <w:rPr>
          <w:rFonts w:ascii="仿宋_GB2312" w:eastAsia="仿宋_GB2312"/>
          <w:b/>
          <w:sz w:val="32"/>
          <w:szCs w:val="32"/>
          <w:highlight w:val="none"/>
        </w:rPr>
      </w:pPr>
      <w:r>
        <w:rPr>
          <w:rFonts w:hint="eastAsia" w:ascii="仿宋_GB2312" w:eastAsia="仿宋_GB2312"/>
          <w:b/>
          <w:sz w:val="32"/>
          <w:szCs w:val="32"/>
          <w:highlight w:val="none"/>
        </w:rPr>
        <w:t>二、收入</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w:t>
      </w:r>
      <w:r>
        <w:rPr>
          <w:rFonts w:hint="eastAsia" w:ascii="仿宋_GB2312" w:eastAsia="仿宋_GB2312"/>
          <w:sz w:val="32"/>
          <w:szCs w:val="32"/>
          <w:highlight w:val="none"/>
          <w:lang w:eastAsia="zh-CN"/>
        </w:rPr>
        <w:t>总</w:t>
      </w:r>
      <w:r>
        <w:rPr>
          <w:rFonts w:hint="eastAsia" w:ascii="仿宋_GB2312" w:eastAsia="仿宋_GB2312"/>
          <w:sz w:val="32"/>
          <w:szCs w:val="32"/>
          <w:highlight w:val="none"/>
        </w:rPr>
        <w:t>收入</w:t>
      </w:r>
      <w:r>
        <w:rPr>
          <w:rFonts w:hint="eastAsia" w:ascii="仿宋_GB2312" w:eastAsia="仿宋_GB2312"/>
          <w:sz w:val="32"/>
          <w:szCs w:val="32"/>
          <w:highlight w:val="none"/>
          <w:lang w:eastAsia="zh-CN"/>
        </w:rPr>
        <w:t>决算</w:t>
      </w:r>
      <w:r>
        <w:rPr>
          <w:rFonts w:hint="eastAsia" w:ascii="仿宋_GB2312" w:eastAsia="仿宋_GB2312"/>
          <w:sz w:val="32"/>
          <w:szCs w:val="32"/>
          <w:highlight w:val="none"/>
          <w:lang w:eastAsia="zh-CN"/>
        </w:rPr>
        <w:t>为</w:t>
      </w:r>
      <w:r>
        <w:rPr>
          <w:rFonts w:hint="eastAsia" w:ascii="仿宋_GB2312" w:eastAsia="仿宋_GB2312"/>
          <w:sz w:val="32"/>
          <w:szCs w:val="32"/>
          <w:highlight w:val="none"/>
          <w:lang w:val="en-US" w:eastAsia="zh-CN"/>
        </w:rPr>
        <w:t>2,695.64万元，主要包括财政拨款收入2,551.04万元，占总收入94.64%；其他收入144.60万元，占总收入5.36%。总收入比上年减少6,464.15万元，同比降低70.57%</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主要原因为2020年有土地增减挂钩省域调出收入以及2021年县级存量资金减少</w:t>
      </w:r>
      <w:r>
        <w:rPr>
          <w:rFonts w:hint="eastAsia" w:ascii="仿宋_GB2312" w:eastAsia="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jc w:val="both"/>
        <w:textAlignment w:val="auto"/>
        <w:rPr>
          <w:rFonts w:ascii="仿宋_GB2312" w:eastAsia="仿宋_GB2312"/>
          <w:b/>
          <w:sz w:val="32"/>
          <w:szCs w:val="32"/>
          <w:highlight w:val="none"/>
        </w:rPr>
      </w:pPr>
      <w:r>
        <w:rPr>
          <w:rFonts w:hint="eastAsia" w:ascii="仿宋_GB2312" w:eastAsia="仿宋_GB2312"/>
          <w:b/>
          <w:sz w:val="32"/>
          <w:szCs w:val="32"/>
          <w:highlight w:val="none"/>
        </w:rPr>
        <w:t>三、支出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w:t>
      </w:r>
      <w:r>
        <w:rPr>
          <w:rFonts w:hint="eastAsia" w:ascii="仿宋_GB2312" w:eastAsia="仿宋_GB2312"/>
          <w:sz w:val="32"/>
          <w:szCs w:val="32"/>
          <w:highlight w:val="none"/>
          <w:lang w:eastAsia="zh-CN"/>
        </w:rPr>
        <w:t>总支出</w:t>
      </w:r>
      <w:r>
        <w:rPr>
          <w:rFonts w:hint="eastAsia" w:ascii="仿宋_GB2312" w:eastAsia="仿宋_GB2312"/>
          <w:sz w:val="32"/>
          <w:szCs w:val="32"/>
          <w:highlight w:val="none"/>
          <w:lang w:eastAsia="zh-CN"/>
        </w:rPr>
        <w:t>决算</w:t>
      </w:r>
      <w:r>
        <w:rPr>
          <w:rFonts w:hint="eastAsia" w:ascii="仿宋_GB2312" w:eastAsia="仿宋_GB2312"/>
          <w:sz w:val="32"/>
          <w:szCs w:val="32"/>
          <w:highlight w:val="none"/>
          <w:lang w:eastAsia="zh-CN"/>
        </w:rPr>
        <w:t>为</w:t>
      </w:r>
      <w:r>
        <w:rPr>
          <w:rFonts w:hint="eastAsia" w:ascii="仿宋_GB2312" w:eastAsia="仿宋_GB2312"/>
          <w:sz w:val="32"/>
          <w:szCs w:val="32"/>
          <w:highlight w:val="none"/>
          <w:lang w:val="en-US" w:eastAsia="zh-CN"/>
        </w:rPr>
        <w:t>5,490.73万元，主要包括基本支出194.86万元，占总支出3.55%；项目支出5,295.87万元，占总支出96.45%。总支出比上年增加2,516.54万元，同比增长84.61%</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主要原因为2021年抵边搬迁出让金、土地补偿金以及土地增减挂钩省域调出收入经费支出增加。</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jc w:val="left"/>
        <w:textAlignment w:val="auto"/>
        <w:rPr>
          <w:rFonts w:ascii="仿宋_GB2312" w:eastAsia="仿宋_GB2312"/>
          <w:b/>
          <w:sz w:val="32"/>
          <w:szCs w:val="32"/>
          <w:highlight w:val="none"/>
        </w:rPr>
      </w:pPr>
      <w:r>
        <w:rPr>
          <w:rFonts w:hint="eastAsia" w:ascii="仿宋_GB2312" w:eastAsia="仿宋_GB2312"/>
          <w:b/>
          <w:sz w:val="32"/>
          <w:szCs w:val="32"/>
          <w:highlight w:val="none"/>
        </w:rPr>
        <w:t>四、一般公共预算财政拨款收入支出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u w:val="none"/>
          <w:lang w:eastAsia="zh-CN"/>
        </w:rPr>
      </w:pPr>
      <w:r>
        <w:rPr>
          <w:rFonts w:hint="eastAsia" w:ascii="仿宋_GB2312" w:eastAsia="仿宋_GB2312"/>
          <w:sz w:val="32"/>
          <w:szCs w:val="32"/>
          <w:highlight w:val="none"/>
          <w:u w:val="none"/>
        </w:rPr>
        <w:t>202</w:t>
      </w:r>
      <w:r>
        <w:rPr>
          <w:rFonts w:hint="eastAsia" w:ascii="仿宋_GB2312" w:eastAsia="仿宋_GB2312"/>
          <w:sz w:val="32"/>
          <w:szCs w:val="32"/>
          <w:highlight w:val="none"/>
          <w:u w:val="none"/>
          <w:lang w:val="en-US" w:eastAsia="zh-CN"/>
        </w:rPr>
        <w:t>1</w:t>
      </w:r>
      <w:r>
        <w:rPr>
          <w:rFonts w:hint="eastAsia" w:ascii="仿宋_GB2312" w:eastAsia="仿宋_GB2312"/>
          <w:sz w:val="32"/>
          <w:szCs w:val="32"/>
          <w:highlight w:val="none"/>
          <w:u w:val="none"/>
        </w:rPr>
        <w:t>年度一般公共预算财政拨款</w:t>
      </w:r>
      <w:r>
        <w:rPr>
          <w:rFonts w:hint="eastAsia" w:ascii="仿宋_GB2312" w:eastAsia="仿宋_GB2312"/>
          <w:sz w:val="32"/>
          <w:szCs w:val="32"/>
          <w:highlight w:val="none"/>
          <w:u w:val="none"/>
          <w:lang w:eastAsia="zh-CN"/>
        </w:rPr>
        <w:t>总</w:t>
      </w:r>
      <w:r>
        <w:rPr>
          <w:rFonts w:hint="eastAsia" w:ascii="仿宋_GB2312" w:eastAsia="仿宋_GB2312"/>
          <w:sz w:val="32"/>
          <w:szCs w:val="32"/>
          <w:highlight w:val="none"/>
          <w:u w:val="none"/>
        </w:rPr>
        <w:t>收入</w:t>
      </w:r>
      <w:r>
        <w:rPr>
          <w:rFonts w:hint="eastAsia" w:ascii="仿宋_GB2312" w:eastAsia="仿宋_GB2312"/>
          <w:sz w:val="32"/>
          <w:szCs w:val="32"/>
          <w:highlight w:val="none"/>
          <w:u w:val="none"/>
          <w:lang w:eastAsia="zh-CN"/>
        </w:rPr>
        <w:t>决算为</w:t>
      </w:r>
      <w:r>
        <w:rPr>
          <w:rFonts w:hint="eastAsia" w:ascii="仿宋_GB2312" w:eastAsia="仿宋_GB2312"/>
          <w:sz w:val="32"/>
          <w:szCs w:val="32"/>
          <w:highlight w:val="none"/>
          <w:u w:val="none"/>
          <w:lang w:val="en-US" w:eastAsia="zh-CN"/>
        </w:rPr>
        <w:t>3,871.52万元</w:t>
      </w:r>
      <w:r>
        <w:rPr>
          <w:rFonts w:hint="eastAsia" w:ascii="仿宋_GB2312" w:eastAsia="仿宋_GB2312"/>
          <w:sz w:val="32"/>
          <w:szCs w:val="32"/>
          <w:highlight w:val="none"/>
          <w:u w:val="none"/>
        </w:rPr>
        <w:t>，比上年</w:t>
      </w:r>
      <w:r>
        <w:rPr>
          <w:rFonts w:hint="eastAsia" w:ascii="仿宋_GB2312" w:eastAsia="仿宋_GB2312"/>
          <w:sz w:val="32"/>
          <w:szCs w:val="32"/>
          <w:highlight w:val="none"/>
          <w:u w:val="none"/>
          <w:lang w:eastAsia="zh-CN"/>
        </w:rPr>
        <w:t>减少</w:t>
      </w:r>
      <w:r>
        <w:rPr>
          <w:rFonts w:hint="eastAsia" w:ascii="仿宋_GB2312" w:eastAsia="仿宋_GB2312"/>
          <w:sz w:val="32"/>
          <w:szCs w:val="32"/>
          <w:highlight w:val="none"/>
          <w:u w:val="none"/>
          <w:lang w:val="en-US" w:eastAsia="zh-CN"/>
        </w:rPr>
        <w:t>3,472.12万元</w:t>
      </w:r>
      <w:r>
        <w:rPr>
          <w:rFonts w:hint="eastAsia" w:ascii="仿宋_GB2312" w:eastAsia="仿宋_GB2312"/>
          <w:sz w:val="32"/>
          <w:szCs w:val="32"/>
          <w:highlight w:val="none"/>
          <w:u w:val="none"/>
        </w:rPr>
        <w:t>，</w:t>
      </w:r>
      <w:r>
        <w:rPr>
          <w:rFonts w:hint="eastAsia" w:ascii="仿宋_GB2312" w:eastAsia="仿宋_GB2312"/>
          <w:sz w:val="32"/>
          <w:szCs w:val="32"/>
          <w:highlight w:val="none"/>
          <w:u w:val="none"/>
          <w:lang w:eastAsia="zh-CN"/>
        </w:rPr>
        <w:t>同比降低</w:t>
      </w:r>
      <w:r>
        <w:rPr>
          <w:rFonts w:hint="eastAsia" w:ascii="仿宋_GB2312" w:eastAsia="仿宋_GB2312"/>
          <w:sz w:val="32"/>
          <w:szCs w:val="32"/>
          <w:highlight w:val="none"/>
          <w:u w:val="none"/>
          <w:lang w:val="en-US" w:eastAsia="zh-CN"/>
        </w:rPr>
        <w:t>47.28</w:t>
      </w:r>
      <w:r>
        <w:rPr>
          <w:rFonts w:hint="eastAsia" w:ascii="仿宋_GB2312" w:eastAsia="仿宋_GB2312"/>
          <w:sz w:val="32"/>
          <w:szCs w:val="32"/>
          <w:highlight w:val="none"/>
          <w:u w:val="none"/>
          <w:lang w:val="en-US" w:eastAsia="zh-CN"/>
        </w:rPr>
        <w:t>%，</w:t>
      </w:r>
      <w:r>
        <w:rPr>
          <w:rFonts w:hint="eastAsia" w:ascii="仿宋_GB2312" w:eastAsia="仿宋_GB2312"/>
          <w:sz w:val="32"/>
          <w:szCs w:val="32"/>
          <w:highlight w:val="none"/>
          <w:lang w:val="en-US" w:eastAsia="zh-CN"/>
        </w:rPr>
        <w:t>要原因为2020年有土地增减挂钩省域调出收入以及2021年县级存量资金减少</w:t>
      </w:r>
      <w:r>
        <w:rPr>
          <w:rFonts w:hint="eastAsia" w:ascii="仿宋_GB2312" w:eastAsia="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highlight w:val="none"/>
          <w:u w:val="none"/>
        </w:rPr>
      </w:pPr>
      <w:r>
        <w:rPr>
          <w:rFonts w:hint="eastAsia" w:ascii="仿宋_GB2312" w:eastAsia="仿宋_GB2312"/>
          <w:sz w:val="32"/>
          <w:szCs w:val="32"/>
          <w:highlight w:val="none"/>
          <w:u w:val="none"/>
        </w:rPr>
        <w:t>202</w:t>
      </w:r>
      <w:r>
        <w:rPr>
          <w:rFonts w:hint="eastAsia" w:ascii="仿宋_GB2312" w:eastAsia="仿宋_GB2312"/>
          <w:sz w:val="32"/>
          <w:szCs w:val="32"/>
          <w:highlight w:val="none"/>
          <w:u w:val="none"/>
          <w:lang w:val="en-US" w:eastAsia="zh-CN"/>
        </w:rPr>
        <w:t>1</w:t>
      </w:r>
      <w:r>
        <w:rPr>
          <w:rFonts w:hint="eastAsia" w:ascii="仿宋_GB2312" w:eastAsia="仿宋_GB2312"/>
          <w:sz w:val="32"/>
          <w:szCs w:val="32"/>
          <w:highlight w:val="none"/>
          <w:u w:val="none"/>
        </w:rPr>
        <w:t>年度一般公共预算财政拨款</w:t>
      </w:r>
      <w:r>
        <w:rPr>
          <w:rFonts w:hint="eastAsia" w:ascii="仿宋_GB2312" w:eastAsia="仿宋_GB2312"/>
          <w:sz w:val="32"/>
          <w:szCs w:val="32"/>
          <w:highlight w:val="none"/>
          <w:u w:val="none"/>
          <w:lang w:eastAsia="zh-CN"/>
        </w:rPr>
        <w:t>总</w:t>
      </w:r>
      <w:r>
        <w:rPr>
          <w:rFonts w:hint="eastAsia" w:ascii="仿宋_GB2312" w:eastAsia="仿宋_GB2312"/>
          <w:sz w:val="32"/>
          <w:szCs w:val="32"/>
          <w:highlight w:val="none"/>
          <w:u w:val="none"/>
        </w:rPr>
        <w:t>支出</w:t>
      </w:r>
      <w:r>
        <w:rPr>
          <w:rFonts w:hint="eastAsia" w:ascii="仿宋_GB2312" w:eastAsia="仿宋_GB2312"/>
          <w:sz w:val="32"/>
          <w:szCs w:val="32"/>
          <w:highlight w:val="none"/>
          <w:u w:val="none"/>
          <w:lang w:eastAsia="zh-CN"/>
        </w:rPr>
        <w:t>决算为</w:t>
      </w:r>
      <w:r>
        <w:rPr>
          <w:rFonts w:hint="eastAsia" w:ascii="仿宋_GB2312" w:eastAsia="仿宋_GB2312"/>
          <w:sz w:val="32"/>
          <w:szCs w:val="32"/>
          <w:highlight w:val="none"/>
          <w:u w:val="none"/>
          <w:lang w:val="en-US" w:eastAsia="zh-CN"/>
        </w:rPr>
        <w:t>3,871.52万元</w:t>
      </w:r>
      <w:r>
        <w:rPr>
          <w:rFonts w:hint="eastAsia" w:ascii="仿宋_GB2312" w:eastAsia="仿宋_GB2312"/>
          <w:sz w:val="32"/>
          <w:szCs w:val="32"/>
          <w:highlight w:val="none"/>
          <w:u w:val="none"/>
        </w:rPr>
        <w:t>，比上年</w:t>
      </w:r>
      <w:r>
        <w:rPr>
          <w:rFonts w:hint="eastAsia" w:ascii="仿宋_GB2312" w:eastAsia="仿宋_GB2312"/>
          <w:sz w:val="32"/>
          <w:szCs w:val="32"/>
          <w:highlight w:val="none"/>
          <w:u w:val="none"/>
          <w:lang w:eastAsia="zh-CN"/>
        </w:rPr>
        <w:t>增加</w:t>
      </w:r>
      <w:r>
        <w:rPr>
          <w:rFonts w:hint="eastAsia" w:ascii="仿宋_GB2312" w:eastAsia="仿宋_GB2312"/>
          <w:sz w:val="32"/>
          <w:szCs w:val="32"/>
          <w:highlight w:val="none"/>
          <w:u w:val="none"/>
          <w:lang w:val="en-US" w:eastAsia="zh-CN"/>
        </w:rPr>
        <w:t>2,201.24万元</w:t>
      </w:r>
      <w:r>
        <w:rPr>
          <w:rFonts w:hint="eastAsia" w:ascii="仿宋_GB2312" w:eastAsia="仿宋_GB2312"/>
          <w:sz w:val="32"/>
          <w:szCs w:val="32"/>
          <w:highlight w:val="none"/>
          <w:u w:val="none"/>
        </w:rPr>
        <w:t>，</w:t>
      </w:r>
      <w:r>
        <w:rPr>
          <w:rFonts w:hint="eastAsia" w:ascii="仿宋_GB2312" w:eastAsia="仿宋_GB2312"/>
          <w:sz w:val="32"/>
          <w:szCs w:val="32"/>
          <w:highlight w:val="none"/>
          <w:u w:val="none"/>
          <w:lang w:eastAsia="zh-CN"/>
        </w:rPr>
        <w:t>同比增长</w:t>
      </w:r>
      <w:r>
        <w:rPr>
          <w:rFonts w:hint="eastAsia" w:ascii="仿宋_GB2312" w:eastAsia="仿宋_GB2312"/>
          <w:sz w:val="32"/>
          <w:szCs w:val="32"/>
          <w:highlight w:val="none"/>
          <w:u w:val="none"/>
          <w:lang w:val="en-US" w:eastAsia="zh-CN"/>
        </w:rPr>
        <w:t>131.79%</w:t>
      </w:r>
      <w:r>
        <w:rPr>
          <w:rFonts w:hint="eastAsia" w:ascii="仿宋_GB2312" w:eastAsia="仿宋_GB2312"/>
          <w:sz w:val="32"/>
          <w:szCs w:val="32"/>
          <w:highlight w:val="none"/>
          <w:u w:val="none"/>
        </w:rPr>
        <w:t>，</w:t>
      </w:r>
      <w:r>
        <w:rPr>
          <w:rFonts w:hint="eastAsia" w:ascii="仿宋_GB2312" w:eastAsia="仿宋_GB2312"/>
          <w:sz w:val="32"/>
          <w:szCs w:val="32"/>
          <w:highlight w:val="none"/>
          <w:lang w:val="en-US" w:eastAsia="zh-CN"/>
        </w:rPr>
        <w:t>主要原因为土地增减挂钩省域调出收入经费支出增加。</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jc w:val="left"/>
        <w:textAlignment w:val="auto"/>
        <w:rPr>
          <w:rFonts w:ascii="仿宋_GB2312" w:eastAsia="仿宋_GB2312"/>
          <w:b/>
          <w:sz w:val="32"/>
          <w:szCs w:val="32"/>
          <w:highlight w:val="none"/>
        </w:rPr>
      </w:pPr>
      <w:r>
        <w:rPr>
          <w:rFonts w:hint="eastAsia" w:ascii="仿宋_GB2312" w:eastAsia="仿宋_GB2312"/>
          <w:b/>
          <w:sz w:val="32"/>
          <w:szCs w:val="32"/>
          <w:highlight w:val="none"/>
        </w:rPr>
        <w:t>五、一般公共预算财政拨款支出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仿宋_GB2312" w:eastAsia="仿宋_GB2312"/>
          <w:sz w:val="32"/>
          <w:szCs w:val="32"/>
          <w:highlight w:val="none"/>
          <w:lang w:val="en-US" w:eastAsia="zh-CN"/>
        </w:rPr>
      </w:pP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1</w:t>
      </w:r>
      <w:r>
        <w:rPr>
          <w:rFonts w:hint="eastAsia" w:ascii="仿宋_GB2312" w:eastAsia="仿宋_GB2312"/>
          <w:kern w:val="0"/>
          <w:sz w:val="32"/>
          <w:szCs w:val="32"/>
          <w:highlight w:val="none"/>
        </w:rPr>
        <w:t>年度一般公共预算财政拨款支出</w:t>
      </w:r>
      <w:r>
        <w:rPr>
          <w:rFonts w:hint="eastAsia" w:ascii="仿宋_GB2312" w:eastAsia="仿宋_GB2312"/>
          <w:sz w:val="32"/>
          <w:szCs w:val="32"/>
          <w:highlight w:val="none"/>
          <w:lang w:eastAsia="zh-CN"/>
        </w:rPr>
        <w:t>决算为</w:t>
      </w:r>
      <w:r>
        <w:rPr>
          <w:rFonts w:hint="eastAsia" w:ascii="仿宋_GB2312" w:eastAsia="仿宋_GB2312"/>
          <w:sz w:val="32"/>
          <w:szCs w:val="32"/>
          <w:highlight w:val="none"/>
          <w:u w:val="none"/>
          <w:lang w:val="en-US" w:eastAsia="zh-CN"/>
        </w:rPr>
        <w:t>3,871.52</w:t>
      </w:r>
      <w:r>
        <w:rPr>
          <w:rFonts w:hint="eastAsia" w:ascii="仿宋_GB2312" w:eastAsia="仿宋_GB2312"/>
          <w:sz w:val="32"/>
          <w:szCs w:val="32"/>
          <w:highlight w:val="none"/>
          <w:lang w:val="en-US" w:eastAsia="zh-CN"/>
        </w:rPr>
        <w:t>万元，比上年增加</w:t>
      </w:r>
      <w:r>
        <w:rPr>
          <w:rFonts w:hint="eastAsia" w:ascii="仿宋_GB2312" w:eastAsia="仿宋_GB2312"/>
          <w:sz w:val="32"/>
          <w:szCs w:val="32"/>
          <w:highlight w:val="none"/>
          <w:u w:val="none"/>
          <w:lang w:val="en-US" w:eastAsia="zh-CN"/>
        </w:rPr>
        <w:t>3,871.52</w:t>
      </w:r>
      <w:r>
        <w:rPr>
          <w:rFonts w:hint="eastAsia" w:ascii="仿宋_GB2312" w:eastAsia="仿宋_GB2312"/>
          <w:sz w:val="32"/>
          <w:szCs w:val="32"/>
          <w:highlight w:val="none"/>
          <w:lang w:val="en-US" w:eastAsia="zh-CN"/>
        </w:rPr>
        <w:t>万元，同比增长</w:t>
      </w:r>
      <w:r>
        <w:rPr>
          <w:rFonts w:hint="eastAsia" w:ascii="仿宋_GB2312" w:eastAsia="仿宋_GB2312"/>
          <w:sz w:val="32"/>
          <w:szCs w:val="32"/>
          <w:highlight w:val="none"/>
          <w:u w:val="none"/>
          <w:lang w:val="en-US" w:eastAsia="zh-CN"/>
        </w:rPr>
        <w:t>131.79</w:t>
      </w:r>
      <w:r>
        <w:rPr>
          <w:rFonts w:hint="eastAsia" w:ascii="仿宋_GB2312" w:eastAsia="仿宋_GB2312"/>
          <w:sz w:val="32"/>
          <w:szCs w:val="32"/>
          <w:highlight w:val="none"/>
          <w:lang w:val="en-US" w:eastAsia="zh-CN"/>
        </w:rPr>
        <w:t>%，主要原因为土地增减挂钩省域调出收入经费支出增加。</w:t>
      </w:r>
      <w:r>
        <w:rPr>
          <w:rFonts w:hint="eastAsia" w:ascii="仿宋_GB2312" w:eastAsia="仿宋_GB2312"/>
          <w:sz w:val="32"/>
          <w:szCs w:val="32"/>
          <w:highlight w:val="none"/>
          <w:lang w:val="en-US" w:eastAsia="zh-CN"/>
        </w:rPr>
        <w:t>比年初预算减少3307.13万元,降低46.06%，主要原因为年初预算经费较多。</w:t>
      </w:r>
      <w:r>
        <w:rPr>
          <w:rFonts w:hint="eastAsia" w:ascii="仿宋_GB2312" w:eastAsia="仿宋_GB2312"/>
          <w:sz w:val="32"/>
          <w:szCs w:val="32"/>
          <w:highlight w:val="none"/>
          <w:lang w:val="en-US" w:eastAsia="zh-CN"/>
        </w:rPr>
        <w:t>其中：基本支出194.86万元，占总支出5.03%；项目支出3,676.65万元，占总支出94.67%。</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jc w:val="left"/>
        <w:textAlignment w:val="auto"/>
        <w:rPr>
          <w:rFonts w:ascii="仿宋_GB2312" w:eastAsia="仿宋_GB2312"/>
          <w:b/>
          <w:sz w:val="32"/>
          <w:szCs w:val="32"/>
          <w:highlight w:val="none"/>
        </w:rPr>
      </w:pPr>
      <w:r>
        <w:rPr>
          <w:rFonts w:hint="eastAsia" w:ascii="仿宋_GB2312" w:eastAsia="仿宋_GB2312"/>
          <w:b/>
          <w:sz w:val="32"/>
          <w:szCs w:val="32"/>
          <w:highlight w:val="none"/>
        </w:rPr>
        <w:t>六、一般公共预算财政拨款基本支出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年度一般公共预算财政拨款基本支出</w:t>
      </w:r>
      <w:r>
        <w:rPr>
          <w:rFonts w:hint="eastAsia" w:ascii="仿宋_GB2312" w:eastAsia="仿宋_GB2312"/>
          <w:sz w:val="32"/>
          <w:szCs w:val="32"/>
          <w:highlight w:val="none"/>
          <w:lang w:eastAsia="zh-CN"/>
        </w:rPr>
        <w:t>决算为</w:t>
      </w:r>
      <w:r>
        <w:rPr>
          <w:rFonts w:hint="eastAsia" w:ascii="仿宋_GB2312" w:eastAsia="仿宋_GB2312"/>
          <w:sz w:val="32"/>
          <w:szCs w:val="32"/>
          <w:highlight w:val="none"/>
          <w:lang w:val="en-US" w:eastAsia="zh-CN"/>
        </w:rPr>
        <w:t>194.86万</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比上年增加</w:t>
      </w:r>
      <w:r>
        <w:rPr>
          <w:rFonts w:hint="eastAsia" w:ascii="仿宋_GB2312" w:eastAsia="仿宋_GB2312"/>
          <w:sz w:val="32"/>
          <w:szCs w:val="32"/>
          <w:highlight w:val="none"/>
          <w:lang w:val="en-US" w:eastAsia="zh-CN"/>
        </w:rPr>
        <w:t>33.73万元，同比增长20.93%</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主要原因为</w:t>
      </w:r>
      <w:r>
        <w:rPr>
          <w:rFonts w:hint="eastAsia" w:ascii="仿宋_GB2312" w:eastAsia="仿宋_GB2312"/>
          <w:sz w:val="32"/>
          <w:szCs w:val="32"/>
          <w:highlight w:val="none"/>
          <w:lang w:val="en-US" w:eastAsia="zh-CN"/>
        </w:rPr>
        <w:t>2021年实有人数12人，2020年实有人数10人，因此人员经费增加</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比年初预算减少56.67万元,降低22.53%，主要原因为人员变动。</w:t>
      </w:r>
      <w:r>
        <w:rPr>
          <w:rFonts w:hint="eastAsia" w:ascii="仿宋_GB2312" w:eastAsia="仿宋_GB2312"/>
          <w:sz w:val="32"/>
          <w:szCs w:val="32"/>
          <w:highlight w:val="none"/>
        </w:rPr>
        <w:t>其中：</w:t>
      </w:r>
      <w:r>
        <w:rPr>
          <w:rFonts w:hint="eastAsia" w:ascii="仿宋_GB2312" w:eastAsia="仿宋_GB2312"/>
          <w:b/>
          <w:sz w:val="32"/>
          <w:szCs w:val="32"/>
          <w:highlight w:val="none"/>
        </w:rPr>
        <w:t>人员经费</w:t>
      </w:r>
      <w:r>
        <w:rPr>
          <w:rFonts w:hint="eastAsia" w:ascii="仿宋_GB2312" w:eastAsia="仿宋_GB2312"/>
          <w:b/>
          <w:bCs/>
          <w:sz w:val="32"/>
          <w:szCs w:val="32"/>
          <w:highlight w:val="none"/>
        </w:rPr>
        <w:t>支出</w:t>
      </w:r>
      <w:r>
        <w:rPr>
          <w:rFonts w:hint="eastAsia" w:ascii="仿宋_GB2312" w:eastAsia="仿宋_GB2312"/>
          <w:sz w:val="32"/>
          <w:szCs w:val="32"/>
          <w:highlight w:val="none"/>
          <w:lang w:eastAsia="zh-CN"/>
        </w:rPr>
        <w:t>合计</w:t>
      </w:r>
      <w:r>
        <w:rPr>
          <w:rFonts w:hint="eastAsia" w:ascii="仿宋_GB2312" w:eastAsia="仿宋_GB2312"/>
          <w:sz w:val="32"/>
          <w:szCs w:val="32"/>
          <w:highlight w:val="none"/>
          <w:lang w:val="en-US" w:eastAsia="zh-CN"/>
        </w:rPr>
        <w:t>169.98万元</w:t>
      </w:r>
      <w:r>
        <w:rPr>
          <w:rFonts w:hint="eastAsia" w:ascii="仿宋_GB2312" w:eastAsia="仿宋_GB2312"/>
          <w:sz w:val="32"/>
          <w:szCs w:val="32"/>
          <w:highlight w:val="none"/>
        </w:rPr>
        <w:t>，占总支出的</w:t>
      </w:r>
      <w:r>
        <w:rPr>
          <w:rFonts w:hint="eastAsia" w:ascii="仿宋_GB2312" w:eastAsia="仿宋_GB2312"/>
          <w:sz w:val="32"/>
          <w:szCs w:val="32"/>
          <w:highlight w:val="none"/>
          <w:lang w:val="en-US" w:eastAsia="zh-CN"/>
        </w:rPr>
        <w:t>87.23</w:t>
      </w:r>
      <w:r>
        <w:rPr>
          <w:rFonts w:hint="eastAsia" w:ascii="仿宋_GB2312" w:eastAsia="仿宋_GB2312"/>
          <w:sz w:val="32"/>
          <w:szCs w:val="32"/>
          <w:highlight w:val="none"/>
        </w:rPr>
        <w:t>%，主要包括</w:t>
      </w:r>
      <w:r>
        <w:rPr>
          <w:rFonts w:hint="eastAsia" w:ascii="仿宋_GB2312" w:eastAsia="仿宋_GB2312"/>
          <w:sz w:val="32"/>
          <w:szCs w:val="32"/>
          <w:highlight w:val="none"/>
          <w:lang w:eastAsia="zh-CN"/>
        </w:rPr>
        <w:t>工资福利支出支出和对个人和家庭的补助支出</w:t>
      </w:r>
      <w:r>
        <w:rPr>
          <w:rFonts w:hint="eastAsia" w:ascii="仿宋_GB2312" w:eastAsia="仿宋_GB2312"/>
          <w:sz w:val="32"/>
          <w:szCs w:val="32"/>
          <w:highlight w:val="none"/>
        </w:rPr>
        <w:t>。</w:t>
      </w:r>
      <w:r>
        <w:rPr>
          <w:rFonts w:hint="eastAsia" w:ascii="仿宋_GB2312" w:eastAsia="仿宋_GB2312"/>
          <w:b/>
          <w:sz w:val="32"/>
          <w:szCs w:val="32"/>
          <w:highlight w:val="none"/>
        </w:rPr>
        <w:t>公用经</w:t>
      </w:r>
      <w:r>
        <w:rPr>
          <w:rFonts w:hint="eastAsia" w:ascii="仿宋_GB2312" w:eastAsia="仿宋_GB2312"/>
          <w:b/>
          <w:bCs w:val="0"/>
          <w:sz w:val="32"/>
          <w:szCs w:val="32"/>
          <w:highlight w:val="none"/>
        </w:rPr>
        <w:t>费支出</w:t>
      </w:r>
      <w:r>
        <w:rPr>
          <w:rFonts w:hint="eastAsia" w:ascii="仿宋_GB2312" w:eastAsia="仿宋_GB2312"/>
          <w:sz w:val="32"/>
          <w:szCs w:val="32"/>
          <w:highlight w:val="none"/>
          <w:lang w:eastAsia="zh-CN"/>
        </w:rPr>
        <w:t>合计</w:t>
      </w:r>
      <w:r>
        <w:rPr>
          <w:rFonts w:hint="eastAsia" w:ascii="仿宋_GB2312" w:eastAsia="仿宋_GB2312"/>
          <w:sz w:val="32"/>
          <w:szCs w:val="32"/>
          <w:highlight w:val="none"/>
          <w:lang w:val="en-US" w:eastAsia="zh-CN"/>
        </w:rPr>
        <w:t>24.88万</w:t>
      </w:r>
      <w:r>
        <w:rPr>
          <w:rFonts w:hint="eastAsia" w:ascii="仿宋_GB2312" w:eastAsia="仿宋_GB2312"/>
          <w:sz w:val="32"/>
          <w:szCs w:val="32"/>
          <w:highlight w:val="none"/>
        </w:rPr>
        <w:t>元，占总支出</w:t>
      </w:r>
      <w:r>
        <w:rPr>
          <w:rFonts w:hint="eastAsia" w:ascii="仿宋_GB2312" w:eastAsia="仿宋_GB2312"/>
          <w:sz w:val="32"/>
          <w:szCs w:val="32"/>
          <w:highlight w:val="none"/>
          <w:lang w:val="en-US" w:eastAsia="zh-CN"/>
        </w:rPr>
        <w:t>12.77</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主要包括</w:t>
      </w:r>
      <w:r>
        <w:rPr>
          <w:rFonts w:hint="eastAsia" w:ascii="仿宋_GB2312" w:eastAsia="仿宋_GB2312"/>
          <w:sz w:val="32"/>
          <w:szCs w:val="32"/>
          <w:highlight w:val="none"/>
          <w:lang w:eastAsia="zh-CN"/>
        </w:rPr>
        <w:t>商品和服务支出</w:t>
      </w:r>
      <w:r>
        <w:rPr>
          <w:rFonts w:hint="eastAsia" w:ascii="仿宋_GB2312" w:eastAsia="仿宋_GB2312"/>
          <w:sz w:val="32"/>
          <w:szCs w:val="32"/>
          <w:highlight w:val="none"/>
        </w:rPr>
        <w:t>等。</w:t>
      </w:r>
    </w:p>
    <w:p>
      <w:pPr>
        <w:keepNext w:val="0"/>
        <w:keepLines w:val="0"/>
        <w:pageBreakBefore w:val="0"/>
        <w:kinsoku/>
        <w:wordWrap/>
        <w:overflowPunct/>
        <w:topLinePunct w:val="0"/>
        <w:autoSpaceDE/>
        <w:autoSpaceDN/>
        <w:bidi w:val="0"/>
        <w:spacing w:line="560" w:lineRule="exact"/>
        <w:ind w:firstLine="482" w:firstLineChars="150"/>
        <w:jc w:val="left"/>
        <w:textAlignment w:val="auto"/>
        <w:rPr>
          <w:rFonts w:ascii="仿宋_GB2312" w:eastAsia="仿宋_GB2312"/>
          <w:b/>
          <w:sz w:val="32"/>
          <w:szCs w:val="32"/>
          <w:highlight w:val="none"/>
        </w:rPr>
      </w:pPr>
      <w:r>
        <w:rPr>
          <w:rFonts w:hint="eastAsia" w:ascii="仿宋_GB2312" w:eastAsia="仿宋_GB2312"/>
          <w:b/>
          <w:sz w:val="32"/>
          <w:szCs w:val="32"/>
          <w:highlight w:val="none"/>
        </w:rPr>
        <w:t>七、一般公共预算财政拨款“三公”经费支出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2021年度一般公共预算财政拨款“三公”经费总支出</w:t>
      </w:r>
      <w:r>
        <w:rPr>
          <w:rFonts w:hint="eastAsia" w:ascii="仿宋_GB2312" w:hAnsi="仿宋_GB2312" w:eastAsia="仿宋_GB2312" w:cs="仿宋_GB2312"/>
          <w:snapToGrid w:val="0"/>
          <w:w w:val="95"/>
          <w:sz w:val="32"/>
          <w:szCs w:val="32"/>
          <w:highlight w:val="none"/>
          <w:lang w:val="en-US" w:eastAsia="zh-CN"/>
        </w:rPr>
        <w:t>8.30</w:t>
      </w:r>
      <w:r>
        <w:rPr>
          <w:rFonts w:hint="eastAsia" w:ascii="仿宋_GB2312" w:hAnsi="仿宋_GB2312" w:eastAsia="仿宋_GB2312" w:cs="仿宋_GB2312"/>
          <w:snapToGrid w:val="0"/>
          <w:w w:val="95"/>
          <w:sz w:val="32"/>
          <w:szCs w:val="32"/>
          <w:highlight w:val="none"/>
          <w:lang w:val="en-US" w:eastAsia="zh-CN"/>
        </w:rPr>
        <w:t>万元，比上年减少10.79万元，同比降低56.52%</w:t>
      </w:r>
      <w:r>
        <w:rPr>
          <w:rFonts w:hint="eastAsia" w:ascii="仿宋_GB2312" w:hAnsi="仿宋_GB2312" w:eastAsia="仿宋_GB2312" w:cs="仿宋_GB2312"/>
          <w:sz w:val="32"/>
          <w:szCs w:val="32"/>
          <w:highlight w:val="none"/>
          <w:lang w:val="en-US" w:eastAsia="zh-CN"/>
        </w:rPr>
        <w:t>。比预算数增加3.38万元，增长68.70%。其中：</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（1）因公出国（境）费用。</w:t>
      </w:r>
      <w:r>
        <w:rPr>
          <w:rFonts w:hint="eastAsia" w:ascii="仿宋_GB2312" w:hAnsi="仿宋_GB2312" w:eastAsia="仿宋_GB2312" w:cs="仿宋_GB2312"/>
          <w:snapToGrid w:val="0"/>
          <w:w w:val="95"/>
          <w:sz w:val="32"/>
          <w:szCs w:val="32"/>
          <w:highlight w:val="none"/>
          <w:lang w:val="en-US" w:eastAsia="zh-CN"/>
        </w:rPr>
        <w:t>因公出国（镜）0团组数0人数，与上年持平。为进一步规范因公出国（境）费用管理，我县因公出国（境）费用按照零基预算原则，因此因公出国（境）费用支出为0万元。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（2）公务用车购置及运行费</w:t>
      </w:r>
      <w:r>
        <w:rPr>
          <w:rFonts w:hint="eastAsia" w:ascii="仿宋_GB2312" w:hAnsi="仿宋_GB2312" w:eastAsia="仿宋_GB2312" w:cs="仿宋_GB2312"/>
          <w:snapToGrid w:val="0"/>
          <w:w w:val="95"/>
          <w:sz w:val="32"/>
          <w:szCs w:val="32"/>
          <w:highlight w:val="none"/>
          <w:lang w:val="en-US" w:eastAsia="zh-CN"/>
        </w:rPr>
        <w:t>。2021年度支出8.30万元，其中：</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1.公务用车购置费。公务用车购置数为0，保有量为1辆，</w:t>
      </w:r>
      <w:r>
        <w:rPr>
          <w:rFonts w:hint="eastAsia" w:ascii="仿宋_GB2312" w:hAnsi="仿宋_GB2312" w:eastAsia="仿宋_GB2312" w:cs="仿宋_GB2312"/>
          <w:snapToGrid w:val="0"/>
          <w:w w:val="95"/>
          <w:sz w:val="32"/>
          <w:szCs w:val="32"/>
          <w:highlight w:val="none"/>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持平。公务用车购置严格按照我县车辆管理及厉行节约有关要求实行总额控制。</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2.公务用车运行费。2021年度支出8.30万元，比</w:t>
      </w:r>
      <w:r>
        <w:rPr>
          <w:rFonts w:hint="eastAsia" w:ascii="仿宋_GB2312" w:hAnsi="仿宋_GB2312" w:eastAsia="仿宋_GB2312" w:cs="仿宋_GB2312"/>
          <w:sz w:val="32"/>
          <w:szCs w:val="32"/>
          <w:highlight w:val="none"/>
          <w:lang w:val="en-US" w:eastAsia="zh-CN"/>
        </w:rPr>
        <w:t>上年</w:t>
      </w:r>
      <w:r>
        <w:rPr>
          <w:rFonts w:hint="eastAsia" w:ascii="仿宋_GB2312" w:hAnsi="仿宋_GB2312" w:eastAsia="仿宋_GB2312" w:cs="仿宋_GB2312"/>
          <w:snapToGrid w:val="0"/>
          <w:w w:val="95"/>
          <w:sz w:val="32"/>
          <w:szCs w:val="32"/>
          <w:highlight w:val="none"/>
          <w:lang w:val="en-US" w:eastAsia="zh-CN"/>
        </w:rPr>
        <w:t>减少10.79万元</w:t>
      </w:r>
      <w:r>
        <w:rPr>
          <w:rFonts w:hint="eastAsia" w:ascii="仿宋_GB2312" w:hAnsi="仿宋_GB2312" w:eastAsia="仿宋_GB2312" w:cs="仿宋_GB2312"/>
          <w:sz w:val="32"/>
          <w:szCs w:val="32"/>
          <w:highlight w:val="none"/>
          <w:lang w:val="en-US" w:eastAsia="zh-CN"/>
        </w:rPr>
        <w:t>，同比</w:t>
      </w:r>
      <w:r>
        <w:rPr>
          <w:rFonts w:hint="eastAsia" w:ascii="仿宋_GB2312" w:hAnsi="仿宋_GB2312" w:eastAsia="仿宋_GB2312" w:cs="仿宋_GB2312"/>
          <w:snapToGrid w:val="0"/>
          <w:w w:val="95"/>
          <w:sz w:val="32"/>
          <w:szCs w:val="32"/>
          <w:highlight w:val="none"/>
          <w:lang w:val="en-US" w:eastAsia="zh-CN"/>
        </w:rPr>
        <w:t>降低56.52%</w:t>
      </w:r>
      <w:r>
        <w:rPr>
          <w:rFonts w:hint="eastAsia" w:ascii="仿宋_GB2312" w:hAnsi="仿宋_GB2312" w:eastAsia="仿宋_GB2312" w:cs="仿宋_GB2312"/>
          <w:sz w:val="32"/>
          <w:szCs w:val="32"/>
          <w:highlight w:val="none"/>
          <w:lang w:val="en-US" w:eastAsia="zh-CN"/>
        </w:rPr>
        <w:t>，主要原因为2021年没有车辆保险费用支出</w:t>
      </w:r>
      <w:r>
        <w:rPr>
          <w:rFonts w:hint="eastAsia" w:ascii="仿宋_GB2312" w:hAnsi="仿宋_GB2312" w:eastAsia="仿宋_GB2312" w:cs="仿宋_GB2312"/>
          <w:snapToGrid w:val="0"/>
          <w:w w:val="95"/>
          <w:sz w:val="32"/>
          <w:szCs w:val="32"/>
          <w:highlight w:val="none"/>
          <w:lang w:val="en-US" w:eastAsia="zh-CN"/>
        </w:rPr>
        <w:t>。</w:t>
      </w:r>
      <w:r>
        <w:rPr>
          <w:rFonts w:hint="eastAsia" w:ascii="仿宋_GB2312" w:hAnsi="仿宋_GB2312" w:eastAsia="仿宋_GB2312" w:cs="仿宋_GB2312"/>
          <w:sz w:val="32"/>
          <w:szCs w:val="32"/>
          <w:highlight w:val="none"/>
          <w:lang w:val="en-US" w:eastAsia="zh-CN"/>
        </w:rPr>
        <w:t>比年初预算数增加5.42万元，增长188.19%，</w:t>
      </w:r>
      <w:r>
        <w:rPr>
          <w:rFonts w:hint="eastAsia" w:ascii="仿宋_GB2312" w:hAnsi="仿宋_GB2312" w:eastAsia="仿宋_GB2312" w:cs="仿宋_GB2312"/>
          <w:sz w:val="32"/>
          <w:szCs w:val="32"/>
          <w:highlight w:val="none"/>
          <w:lang w:val="en-US" w:eastAsia="zh-CN"/>
        </w:rPr>
        <w:t>主要原因为年初预算不科学</w:t>
      </w:r>
      <w:r>
        <w:rPr>
          <w:rFonts w:hint="eastAsia" w:ascii="仿宋_GB2312" w:hAnsi="仿宋_GB2312" w:eastAsia="仿宋_GB2312" w:cs="仿宋_GB2312"/>
          <w:snapToGrid w:val="0"/>
          <w:w w:val="95"/>
          <w:sz w:val="32"/>
          <w:szCs w:val="32"/>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（3）公务接待费。</w:t>
      </w:r>
      <w:r>
        <w:rPr>
          <w:rFonts w:hint="eastAsia" w:ascii="仿宋_GB2312" w:hAnsi="仿宋_GB2312" w:eastAsia="仿宋_GB2312" w:cs="仿宋_GB2312"/>
          <w:snapToGrid w:val="0"/>
          <w:w w:val="95"/>
          <w:sz w:val="32"/>
          <w:szCs w:val="32"/>
          <w:highlight w:val="none"/>
          <w:lang w:val="en-US" w:eastAsia="zh-CN"/>
        </w:rPr>
        <w:t>2021年度支出0万元，公务接待0批次，0人次比年初预算减少2.04万元，降低100%。</w:t>
      </w:r>
      <w:r>
        <w:rPr>
          <w:rFonts w:hint="eastAsia" w:ascii="仿宋_GB2312" w:hAnsi="仿宋_GB2312" w:eastAsia="仿宋_GB2312" w:cs="仿宋_GB2312"/>
          <w:snapToGrid w:val="0"/>
          <w:w w:val="95"/>
          <w:sz w:val="32"/>
          <w:szCs w:val="32"/>
          <w:highlight w:val="none"/>
          <w:lang w:eastAsia="zh-CN"/>
        </w:rPr>
        <w:t>我单位严格按照</w:t>
      </w:r>
      <w:r>
        <w:rPr>
          <w:rFonts w:hint="eastAsia" w:ascii="仿宋_GB2312" w:hAnsi="仿宋_GB2312" w:eastAsia="仿宋_GB2312" w:cs="仿宋_GB2312"/>
          <w:snapToGrid w:val="0"/>
          <w:w w:val="95"/>
          <w:sz w:val="32"/>
          <w:szCs w:val="32"/>
          <w:highlight w:val="none"/>
          <w:lang w:val="en-US" w:eastAsia="zh-CN"/>
        </w:rPr>
        <w:t>公务接待相关要求，厉行勤俭节约</w:t>
      </w:r>
      <w:r>
        <w:rPr>
          <w:rFonts w:hint="eastAsia" w:ascii="仿宋_GB2312" w:hAnsi="仿宋_GB2312" w:eastAsia="仿宋_GB2312" w:cs="仿宋_GB2312"/>
          <w:snapToGrid w:val="0"/>
          <w:w w:val="95"/>
          <w:sz w:val="32"/>
          <w:szCs w:val="32"/>
          <w:highlight w:val="none"/>
          <w:lang w:eastAsia="zh-CN"/>
        </w:rPr>
        <w:t>严格控制不必要的</w:t>
      </w:r>
      <w:r>
        <w:rPr>
          <w:rFonts w:hint="eastAsia" w:ascii="仿宋_GB2312" w:hAnsi="仿宋_GB2312" w:eastAsia="仿宋_GB2312" w:cs="仿宋_GB2312"/>
          <w:snapToGrid w:val="0"/>
          <w:w w:val="95"/>
          <w:sz w:val="32"/>
          <w:szCs w:val="32"/>
          <w:highlight w:val="none"/>
          <w:lang w:val="en-US" w:eastAsia="zh-CN"/>
        </w:rPr>
        <w:t>公务接待费支出。</w:t>
      </w:r>
    </w:p>
    <w:p>
      <w:pPr>
        <w:pStyle w:val="8"/>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八、政府性基金预算财政拨款</w:t>
      </w:r>
      <w:r>
        <w:rPr>
          <w:rFonts w:hint="eastAsia" w:ascii="仿宋_GB2312" w:hAnsi="仿宋_GB2312" w:eastAsia="仿宋_GB2312" w:cs="仿宋_GB2312"/>
          <w:b/>
          <w:bCs/>
          <w:sz w:val="32"/>
          <w:szCs w:val="32"/>
          <w:highlight w:val="none"/>
          <w:lang w:eastAsia="zh-CN"/>
        </w:rPr>
        <w:t>收入支出</w:t>
      </w:r>
      <w:r>
        <w:rPr>
          <w:rFonts w:hint="eastAsia" w:ascii="仿宋_GB2312" w:hAnsi="仿宋_GB2312" w:eastAsia="仿宋_GB2312" w:cs="仿宋_GB2312"/>
          <w:b/>
          <w:bCs/>
          <w:sz w:val="32"/>
          <w:szCs w:val="32"/>
          <w:highlight w:val="none"/>
        </w:rPr>
        <w:t>决算</w:t>
      </w:r>
      <w:r>
        <w:rPr>
          <w:rFonts w:hint="eastAsia" w:ascii="仿宋_GB2312" w:hAnsi="仿宋_GB2312" w:eastAsia="仿宋_GB2312" w:cs="仿宋_GB2312"/>
          <w:b/>
          <w:bCs/>
          <w:sz w:val="32"/>
          <w:szCs w:val="32"/>
          <w:highlight w:val="none"/>
          <w:lang w:eastAsia="zh-CN"/>
        </w:rPr>
        <w:t>情况说明</w:t>
      </w:r>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2021年度政府性基金预算财政拨款收入894.14万元，用于支付土地勘测定界及及地灾评估费用，比上年</w:t>
      </w:r>
      <w:r>
        <w:rPr>
          <w:rFonts w:hint="eastAsia" w:ascii="仿宋_GB2312" w:hAnsi="仿宋_GB2312" w:eastAsia="仿宋_GB2312" w:cs="仿宋_GB2312"/>
          <w:b w:val="0"/>
          <w:bCs w:val="0"/>
          <w:sz w:val="32"/>
          <w:szCs w:val="32"/>
          <w:highlight w:val="none"/>
          <w:lang w:val="en-US" w:eastAsia="zh-CN"/>
        </w:rPr>
        <w:t>增加190.53万元，同比增长27.08%,</w:t>
      </w:r>
      <w:r>
        <w:rPr>
          <w:rFonts w:hint="eastAsia" w:ascii="仿宋_GB2312" w:hAnsi="仿宋_GB2312" w:eastAsia="仿宋_GB2312" w:cs="仿宋_GB2312"/>
          <w:b w:val="0"/>
          <w:bCs w:val="0"/>
          <w:sz w:val="32"/>
          <w:szCs w:val="32"/>
          <w:highlight w:val="none"/>
          <w:lang w:val="en-US" w:eastAsia="zh-CN"/>
        </w:rPr>
        <w:t>主要原因是新增很多宗需要勘测定界及及地灾评估的土地。</w:t>
      </w:r>
    </w:p>
    <w:p>
      <w:pPr>
        <w:keepNext w:val="0"/>
        <w:keepLines w:val="0"/>
        <w:pageBreakBefore w:val="0"/>
        <w:numPr>
          <w:ilvl w:val="0"/>
          <w:numId w:val="0"/>
        </w:numPr>
        <w:kinsoku/>
        <w:wordWrap/>
        <w:overflowPunct/>
        <w:topLinePunct w:val="0"/>
        <w:autoSpaceDE/>
        <w:autoSpaceDN/>
        <w:bidi w:val="0"/>
        <w:spacing w:line="560" w:lineRule="exact"/>
        <w:ind w:leftChars="304"/>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eastAsia="zh-CN"/>
        </w:rPr>
        <w:t>九、国有资本经营预算财政拨款支出决算情况说明</w:t>
      </w:r>
      <w:r>
        <w:rPr>
          <w:rFonts w:hint="eastAsia" w:ascii="仿宋_GB2312" w:hAnsi="仿宋_GB2312" w:eastAsia="仿宋_GB2312" w:cs="仿宋_GB2312"/>
          <w:b/>
          <w:bCs/>
          <w:sz w:val="32"/>
          <w:szCs w:val="32"/>
          <w:highlight w:val="none"/>
          <w:lang w:eastAsia="zh-CN"/>
        </w:rPr>
        <w:br w:type="textWrapping"/>
      </w:r>
      <w:r>
        <w:rPr>
          <w:rFonts w:hint="eastAsia" w:ascii="仿宋_GB2312" w:hAnsi="仿宋_GB2312" w:eastAsia="仿宋_GB2312" w:cs="仿宋_GB2312"/>
          <w:b w:val="0"/>
          <w:bCs w:val="0"/>
          <w:sz w:val="32"/>
          <w:szCs w:val="32"/>
          <w:highlight w:val="none"/>
          <w:lang w:val="en-US" w:eastAsia="zh-CN"/>
        </w:rPr>
        <w:t>2021年度</w:t>
      </w:r>
      <w:r>
        <w:rPr>
          <w:rFonts w:hint="eastAsia" w:ascii="仿宋_GB2312" w:hAnsi="仿宋_GB2312" w:eastAsia="仿宋_GB2312" w:cs="仿宋_GB2312"/>
          <w:b w:val="0"/>
          <w:bCs w:val="0"/>
          <w:sz w:val="32"/>
          <w:szCs w:val="32"/>
          <w:highlight w:val="none"/>
          <w:lang w:eastAsia="zh-CN"/>
        </w:rPr>
        <w:t>国有资本经营预算财政拨款支出为</w:t>
      </w:r>
      <w:r>
        <w:rPr>
          <w:rFonts w:hint="eastAsia" w:ascii="仿宋_GB2312" w:hAnsi="仿宋_GB2312" w:eastAsia="仿宋_GB2312" w:cs="仿宋_GB2312"/>
          <w:b w:val="0"/>
          <w:bCs w:val="0"/>
          <w:sz w:val="32"/>
          <w:szCs w:val="32"/>
          <w:highlight w:val="none"/>
          <w:lang w:val="en-US" w:eastAsia="zh-CN"/>
        </w:rPr>
        <w:t>0万元，</w:t>
      </w:r>
    </w:p>
    <w:p>
      <w:pPr>
        <w:keepNext w:val="0"/>
        <w:keepLines w:val="0"/>
        <w:pageBreakBefore w:val="0"/>
        <w:numPr>
          <w:ilvl w:val="0"/>
          <w:numId w:val="0"/>
        </w:numPr>
        <w:kinsoku/>
        <w:wordWrap/>
        <w:overflowPunct/>
        <w:topLinePunct w:val="0"/>
        <w:autoSpaceDE/>
        <w:autoSpaceDN/>
        <w:bidi w:val="0"/>
        <w:spacing w:line="560" w:lineRule="exact"/>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eastAsia="仿宋_GB2312"/>
          <w:b/>
          <w:bCs/>
          <w:sz w:val="32"/>
          <w:szCs w:val="32"/>
          <w:highlight w:val="none"/>
          <w:lang w:eastAsia="zh-CN"/>
        </w:rPr>
        <w:t>十</w:t>
      </w:r>
      <w:r>
        <w:rPr>
          <w:rFonts w:hint="eastAsia" w:ascii="仿宋_GB2312" w:eastAsia="仿宋_GB2312"/>
          <w:b/>
          <w:bCs/>
          <w:sz w:val="32"/>
          <w:szCs w:val="32"/>
          <w:highlight w:val="none"/>
        </w:rPr>
        <w:t>、其他重要事项情况说明</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rPr>
        <w:t>机关运行经费</w:t>
      </w:r>
      <w:r>
        <w:rPr>
          <w:rFonts w:hint="eastAsia" w:ascii="楷体_GB2312" w:hAnsi="楷体_GB2312" w:eastAsia="楷体_GB2312" w:cs="楷体_GB2312"/>
          <w:sz w:val="32"/>
          <w:szCs w:val="32"/>
          <w:highlight w:val="none"/>
          <w:lang w:eastAsia="zh-CN"/>
        </w:rPr>
        <w:t>执行</w:t>
      </w:r>
      <w:r>
        <w:rPr>
          <w:rFonts w:hint="eastAsia" w:ascii="楷体_GB2312" w:hAnsi="楷体_GB2312" w:eastAsia="楷体_GB2312" w:cs="楷体_GB2312"/>
          <w:sz w:val="32"/>
          <w:szCs w:val="32"/>
          <w:highlight w:val="none"/>
        </w:rPr>
        <w:t>情况</w:t>
      </w:r>
      <w:r>
        <w:rPr>
          <w:rFonts w:hint="eastAsia" w:ascii="楷体_GB2312" w:hAnsi="楷体_GB2312" w:eastAsia="楷体_GB2312" w:cs="楷体_GB2312"/>
          <w:sz w:val="32"/>
          <w:szCs w:val="32"/>
          <w:highlight w:val="none"/>
          <w:lang w:eastAsia="zh-CN"/>
        </w:rPr>
        <w:t>说明</w:t>
      </w:r>
      <w:r>
        <w:rPr>
          <w:rFonts w:hint="eastAsia" w:ascii="楷体_GB2312" w:hAnsi="楷体_GB2312" w:eastAsia="楷体_GB2312" w:cs="楷体_GB2312"/>
          <w:sz w:val="32"/>
          <w:szCs w:val="32"/>
          <w:highlight w:val="none"/>
        </w:rPr>
        <w:t>。</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年度机关运行经费</w:t>
      </w:r>
      <w:r>
        <w:rPr>
          <w:rFonts w:hint="eastAsia" w:ascii="仿宋_GB2312" w:eastAsia="仿宋_GB2312"/>
          <w:sz w:val="32"/>
          <w:szCs w:val="32"/>
          <w:highlight w:val="none"/>
          <w:lang w:eastAsia="zh-CN"/>
        </w:rPr>
        <w:t>支出</w:t>
      </w:r>
      <w:r>
        <w:rPr>
          <w:rFonts w:hint="eastAsia" w:ascii="仿宋_GB2312" w:eastAsia="仿宋_GB2312"/>
          <w:sz w:val="32"/>
          <w:szCs w:val="32"/>
          <w:highlight w:val="none"/>
          <w:lang w:val="en-US" w:eastAsia="zh-CN"/>
        </w:rPr>
        <w:t>24.88万元，比上年增长</w:t>
      </w:r>
      <w:r>
        <w:rPr>
          <w:rFonts w:hint="eastAsia" w:ascii="仿宋_GB2312" w:hAnsi="仿宋_GB2312" w:eastAsia="仿宋_GB2312" w:cs="仿宋_GB2312"/>
          <w:b w:val="0"/>
          <w:bCs w:val="0"/>
          <w:sz w:val="32"/>
          <w:szCs w:val="32"/>
          <w:highlight w:val="none"/>
          <w:lang w:val="en-US" w:eastAsia="zh-CN"/>
        </w:rPr>
        <w:t>3.69</w:t>
      </w:r>
      <w:r>
        <w:rPr>
          <w:rFonts w:hint="eastAsia" w:ascii="仿宋_GB2312" w:eastAsia="仿宋_GB2312"/>
          <w:sz w:val="32"/>
          <w:szCs w:val="32"/>
          <w:highlight w:val="none"/>
          <w:lang w:val="en-US" w:eastAsia="zh-CN"/>
        </w:rPr>
        <w:t>万元，同比</w:t>
      </w:r>
      <w:r>
        <w:rPr>
          <w:rFonts w:hint="eastAsia" w:ascii="仿宋_GB2312" w:eastAsia="仿宋_GB2312"/>
          <w:sz w:val="32"/>
          <w:szCs w:val="32"/>
          <w:highlight w:val="none"/>
        </w:rPr>
        <w:t>增长</w:t>
      </w:r>
      <w:r>
        <w:rPr>
          <w:rFonts w:hint="eastAsia" w:ascii="仿宋_GB2312" w:eastAsia="仿宋_GB2312"/>
          <w:sz w:val="32"/>
          <w:szCs w:val="32"/>
          <w:highlight w:val="none"/>
          <w:lang w:val="en-US" w:eastAsia="zh-CN"/>
        </w:rPr>
        <w:t>17.41</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主要原因为</w:t>
      </w:r>
      <w:r>
        <w:rPr>
          <w:rFonts w:hint="eastAsia" w:ascii="仿宋_GB2312" w:eastAsia="仿宋_GB2312"/>
          <w:sz w:val="32"/>
          <w:szCs w:val="32"/>
          <w:highlight w:val="none"/>
          <w:lang w:val="en-US" w:eastAsia="zh-CN"/>
        </w:rPr>
        <w:t>2021年订购杂志以及购买办公用品支出增加</w:t>
      </w:r>
      <w:r>
        <w:rPr>
          <w:rFonts w:hint="eastAsia" w:ascii="仿宋_GB2312" w:eastAsia="仿宋_GB2312"/>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480" w:firstLineChars="150"/>
        <w:jc w:val="left"/>
        <w:textAlignment w:val="auto"/>
        <w:rPr>
          <w:rFonts w:hint="default" w:ascii="楷体_GB2312" w:hAnsi="楷体_GB2312" w:eastAsia="仿宋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（二）政府采购支出情况说明。</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w:t>
      </w:r>
      <w:r>
        <w:rPr>
          <w:rFonts w:hint="eastAsia" w:ascii="仿宋_GB2312" w:eastAsia="仿宋_GB2312"/>
          <w:sz w:val="32"/>
          <w:szCs w:val="32"/>
          <w:highlight w:val="none"/>
          <w:lang w:eastAsia="zh-CN"/>
        </w:rPr>
        <w:t>政府采购支出</w:t>
      </w:r>
      <w:r>
        <w:rPr>
          <w:rFonts w:hint="eastAsia" w:ascii="仿宋_GB2312" w:eastAsia="仿宋_GB2312"/>
          <w:sz w:val="32"/>
          <w:szCs w:val="32"/>
          <w:highlight w:val="none"/>
          <w:lang w:val="en-US" w:eastAsia="zh-CN"/>
        </w:rPr>
        <w:t>0万元，其中：政府采购货物支出0万元，政府采购工程支出0万元，政府采购服务支出0万元。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rPr>
        <w:t>国有资产占</w:t>
      </w:r>
      <w:r>
        <w:rPr>
          <w:rFonts w:hint="eastAsia" w:ascii="楷体_GB2312" w:hAnsi="楷体_GB2312" w:eastAsia="楷体_GB2312" w:cs="楷体_GB2312"/>
          <w:sz w:val="32"/>
          <w:szCs w:val="32"/>
          <w:highlight w:val="none"/>
          <w:lang w:eastAsia="zh-CN"/>
        </w:rPr>
        <w:t>用</w:t>
      </w:r>
      <w:r>
        <w:rPr>
          <w:rFonts w:hint="eastAsia" w:ascii="楷体_GB2312" w:hAnsi="楷体_GB2312" w:eastAsia="楷体_GB2312" w:cs="楷体_GB2312"/>
          <w:sz w:val="32"/>
          <w:szCs w:val="32"/>
          <w:highlight w:val="none"/>
        </w:rPr>
        <w:t>情况</w:t>
      </w:r>
      <w:r>
        <w:rPr>
          <w:rFonts w:hint="eastAsia" w:ascii="楷体_GB2312" w:hAnsi="楷体_GB2312" w:eastAsia="楷体_GB2312" w:cs="楷体_GB2312"/>
          <w:sz w:val="32"/>
          <w:szCs w:val="32"/>
          <w:highlight w:val="none"/>
          <w:lang w:eastAsia="zh-CN"/>
        </w:rPr>
        <w:t>说明</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rPr>
        <w:t>截至202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31日</w:t>
      </w:r>
      <w:r>
        <w:rPr>
          <w:rFonts w:hint="eastAsia" w:ascii="仿宋_GB2312" w:hAnsi="仿宋_GB2312" w:eastAsia="仿宋_GB2312" w:cs="仿宋_GB2312"/>
          <w:sz w:val="32"/>
          <w:szCs w:val="32"/>
          <w:highlight w:val="none"/>
        </w:rPr>
        <w:t>，本部门共有车辆</w:t>
      </w:r>
      <w:r>
        <w:rPr>
          <w:rFonts w:hint="eastAsia" w:ascii="仿宋_GB2312" w:hAnsi="仿宋_GB2312" w:eastAsia="仿宋_GB2312" w:cs="仿宋_GB2312"/>
          <w:kern w:val="0"/>
          <w:sz w:val="32"/>
          <w:szCs w:val="32"/>
          <w:highlight w:val="none"/>
          <w:u w:val="none"/>
          <w:lang w:val="en-US" w:eastAsia="zh-CN"/>
        </w:rPr>
        <w:t>1</w:t>
      </w:r>
      <w:r>
        <w:rPr>
          <w:rFonts w:hint="eastAsia" w:ascii="仿宋_GB2312" w:hAnsi="仿宋_GB2312" w:eastAsia="仿宋_GB2312" w:cs="仿宋_GB2312"/>
          <w:sz w:val="32"/>
          <w:szCs w:val="32"/>
          <w:highlight w:val="none"/>
        </w:rPr>
        <w:t>辆，其中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eastAsia="zh-CN"/>
        </w:rPr>
        <w:t>一般公务用车</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辆</w:t>
      </w:r>
      <w:r>
        <w:rPr>
          <w:rFonts w:hint="eastAsia" w:ascii="仿宋_GB2312" w:hAnsi="仿宋_GB2312" w:eastAsia="仿宋_GB2312" w:cs="仿宋_GB2312"/>
          <w:sz w:val="32"/>
          <w:szCs w:val="32"/>
          <w:highlight w:val="none"/>
          <w:lang w:eastAsia="zh-CN"/>
        </w:rPr>
        <w:t>、机要通信用车</w:t>
      </w:r>
      <w:r>
        <w:rPr>
          <w:rFonts w:hint="eastAsia" w:ascii="仿宋_GB2312" w:hAnsi="仿宋_GB2312" w:eastAsia="仿宋_GB2312" w:cs="仿宋_GB2312"/>
          <w:sz w:val="32"/>
          <w:szCs w:val="32"/>
          <w:highlight w:val="none"/>
          <w:lang w:val="en-US" w:eastAsia="zh-CN"/>
        </w:rPr>
        <w:t>0辆、应急保障用车0辆、执法执勤用车0辆、其他用车0辆、</w:t>
      </w:r>
      <w:r>
        <w:rPr>
          <w:rFonts w:hint="eastAsia" w:ascii="仿宋_GB2312" w:hAnsi="仿宋_GB2312" w:eastAsia="仿宋_GB2312" w:cs="仿宋_GB2312"/>
          <w:sz w:val="32"/>
          <w:szCs w:val="32"/>
          <w:highlight w:val="none"/>
        </w:rPr>
        <w:t>单价50万元</w:t>
      </w:r>
      <w:r>
        <w:rPr>
          <w:rFonts w:hint="eastAsia" w:ascii="仿宋_GB2312" w:hAnsi="仿宋_GB2312" w:eastAsia="仿宋_GB2312" w:cs="仿宋_GB2312"/>
          <w:sz w:val="32"/>
          <w:szCs w:val="32"/>
          <w:highlight w:val="none"/>
          <w:lang w:eastAsia="zh-CN"/>
        </w:rPr>
        <w:t>（含）</w:t>
      </w:r>
      <w:r>
        <w:rPr>
          <w:rFonts w:hint="eastAsia" w:ascii="仿宋_GB2312" w:hAnsi="仿宋_GB2312" w:eastAsia="仿宋_GB2312" w:cs="仿宋_GB2312"/>
          <w:sz w:val="32"/>
          <w:szCs w:val="32"/>
          <w:highlight w:val="none"/>
        </w:rPr>
        <w:t>以上</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通用设备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单价100万元</w:t>
      </w:r>
      <w:r>
        <w:rPr>
          <w:rFonts w:hint="eastAsia" w:ascii="仿宋_GB2312" w:hAnsi="仿宋_GB2312" w:eastAsia="仿宋_GB2312" w:cs="仿宋_GB2312"/>
          <w:sz w:val="32"/>
          <w:szCs w:val="32"/>
          <w:highlight w:val="none"/>
          <w:lang w:eastAsia="zh-CN"/>
        </w:rPr>
        <w:t>（含）</w:t>
      </w:r>
      <w:r>
        <w:rPr>
          <w:rFonts w:hint="eastAsia" w:ascii="仿宋_GB2312" w:hAnsi="仿宋_GB2312" w:eastAsia="仿宋_GB2312" w:cs="仿宋_GB2312"/>
          <w:sz w:val="32"/>
          <w:szCs w:val="32"/>
          <w:highlight w:val="none"/>
        </w:rPr>
        <w:t>以上</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专用设备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台（套）。</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（四）重点绩效评价结果等预算绩效情况说明。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根据预算绩效管理要求，察隅县自然资源局</w:t>
      </w:r>
      <w:r>
        <w:rPr>
          <w:rFonts w:hint="eastAsia" w:ascii="仿宋_GB2312" w:hAnsi="仿宋_GB2312" w:eastAsia="仿宋_GB2312" w:cs="仿宋_GB2312"/>
          <w:sz w:val="32"/>
          <w:szCs w:val="32"/>
          <w:highlight w:val="none"/>
          <w:lang w:val="en-US" w:eastAsia="zh-CN"/>
        </w:rPr>
        <w:t>已按要求编制整体支出绩效目标，并围绕政策落实、年度计划实施、重点工作任务和重大项目开展以及资金管理使用等情况，开展整体支出绩效自评。</w:t>
      </w:r>
      <w:r>
        <w:rPr>
          <w:rFonts w:hint="eastAsia" w:ascii="仿宋_GB2312" w:hAnsi="仿宋_GB2312" w:eastAsia="仿宋_GB2312" w:cs="仿宋_GB2312"/>
          <w:sz w:val="32"/>
          <w:szCs w:val="32"/>
          <w:highlight w:val="none"/>
          <w:lang w:val="en-US" w:eastAsia="zh-CN"/>
        </w:rPr>
        <w:t>（详见附件2）</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（五）</w:t>
      </w:r>
      <w:r>
        <w:rPr>
          <w:rFonts w:hint="eastAsia" w:ascii="楷体_GB2312" w:hAnsi="楷体_GB2312" w:eastAsia="楷体_GB2312" w:cs="楷体_GB2312"/>
          <w:b w:val="0"/>
          <w:bCs/>
          <w:sz w:val="32"/>
          <w:szCs w:val="32"/>
          <w:highlight w:val="none"/>
        </w:rPr>
        <w:t>重点、重大项目信息</w:t>
      </w:r>
      <w:r>
        <w:rPr>
          <w:rFonts w:hint="eastAsia" w:ascii="楷体_GB2312" w:hAnsi="楷体_GB2312" w:eastAsia="楷体_GB2312" w:cs="楷体_GB2312"/>
          <w:b w:val="0"/>
          <w:bCs/>
          <w:sz w:val="32"/>
          <w:szCs w:val="32"/>
          <w:highlight w:val="none"/>
          <w:lang w:eastAsia="zh-CN"/>
        </w:rPr>
        <w:t>说明。</w:t>
      </w:r>
      <w:bookmarkStart w:id="0" w:name="_GoBack"/>
      <w:bookmarkEnd w:id="0"/>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度</w:t>
      </w:r>
      <w:r>
        <w:rPr>
          <w:rFonts w:hint="eastAsia" w:ascii="仿宋_GB2312" w:eastAsia="仿宋_GB2312"/>
          <w:sz w:val="32"/>
          <w:szCs w:val="32"/>
          <w:highlight w:val="none"/>
        </w:rPr>
        <w:t>察隅县</w:t>
      </w:r>
      <w:r>
        <w:rPr>
          <w:rFonts w:hint="eastAsia" w:ascii="仿宋_GB2312" w:eastAsia="仿宋_GB2312"/>
          <w:sz w:val="32"/>
          <w:szCs w:val="32"/>
          <w:highlight w:val="none"/>
          <w:lang w:eastAsia="zh-CN"/>
        </w:rPr>
        <w:t>自然资源局</w:t>
      </w:r>
      <w:r>
        <w:rPr>
          <w:rFonts w:hint="eastAsia" w:ascii="仿宋_GB2312" w:eastAsia="仿宋_GB2312"/>
          <w:sz w:val="32"/>
          <w:szCs w:val="32"/>
          <w:highlight w:val="none"/>
        </w:rPr>
        <w:t>无重</w:t>
      </w:r>
      <w:r>
        <w:rPr>
          <w:rFonts w:hint="eastAsia" w:ascii="仿宋_GB2312" w:eastAsia="仿宋_GB2312"/>
          <w:sz w:val="32"/>
          <w:szCs w:val="32"/>
          <w:highlight w:val="none"/>
          <w:lang w:eastAsia="zh-CN"/>
        </w:rPr>
        <w:t>点、重</w:t>
      </w:r>
      <w:r>
        <w:rPr>
          <w:rFonts w:hint="eastAsia" w:ascii="仿宋_GB2312" w:eastAsia="仿宋_GB2312"/>
          <w:sz w:val="32"/>
          <w:szCs w:val="32"/>
          <w:highlight w:val="none"/>
        </w:rPr>
        <w:t>大项目</w:t>
      </w:r>
      <w:r>
        <w:rPr>
          <w:rFonts w:hint="eastAsia" w:ascii="仿宋_GB2312" w:eastAsia="仿宋_GB2312"/>
          <w:sz w:val="32"/>
          <w:szCs w:val="32"/>
          <w:highlight w:val="none"/>
          <w:lang w:eastAsia="zh-CN"/>
        </w:rPr>
        <w:t>信息。</w:t>
      </w:r>
    </w:p>
    <w:p>
      <w:pPr>
        <w:ind w:firstLine="640" w:firstLineChars="200"/>
        <w:jc w:val="left"/>
        <w:rPr>
          <w:rFonts w:hint="eastAsia" w:ascii="仿宋_GB2312" w:eastAsia="仿宋_GB2312"/>
          <w:sz w:val="32"/>
          <w:szCs w:val="32"/>
          <w:highlight w:val="none"/>
          <w:lang w:eastAsia="zh-CN"/>
        </w:rPr>
      </w:pPr>
    </w:p>
    <w:p>
      <w:pPr>
        <w:ind w:left="48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一、</w:t>
      </w:r>
      <w:r>
        <w:rPr>
          <w:rFonts w:hint="eastAsia" w:ascii="仿宋_GB2312" w:hAnsi="仿宋_GB2312" w:eastAsia="仿宋_GB2312" w:cs="仿宋_GB2312"/>
          <w:b/>
          <w:sz w:val="32"/>
          <w:szCs w:val="32"/>
          <w:highlight w:val="none"/>
          <w:lang w:eastAsia="zh-CN"/>
        </w:rPr>
        <w:t>财政</w:t>
      </w:r>
      <w:r>
        <w:rPr>
          <w:rFonts w:hint="eastAsia" w:ascii="仿宋_GB2312" w:hAnsi="仿宋_GB2312" w:eastAsia="仿宋_GB2312" w:cs="仿宋_GB2312"/>
          <w:b/>
          <w:sz w:val="32"/>
          <w:szCs w:val="32"/>
          <w:highlight w:val="none"/>
        </w:rPr>
        <w:t>拨款收入</w:t>
      </w:r>
      <w:r>
        <w:rPr>
          <w:rFonts w:hint="eastAsia" w:ascii="仿宋_GB2312" w:hAnsi="仿宋_GB2312" w:eastAsia="仿宋_GB2312" w:cs="仿宋_GB2312"/>
          <w:b/>
          <w:sz w:val="32"/>
          <w:szCs w:val="32"/>
          <w:highlight w:val="none"/>
          <w:lang w:eastAsia="zh-CN"/>
        </w:rPr>
        <w:t>：</w:t>
      </w:r>
      <w:r>
        <w:rPr>
          <w:rFonts w:hint="eastAsia" w:ascii="仿宋_GB2312" w:hAnsi="仿宋_GB2312" w:eastAsia="仿宋_GB2312" w:cs="仿宋_GB2312"/>
          <w:sz w:val="32"/>
          <w:szCs w:val="32"/>
          <w:highlight w:val="none"/>
        </w:rPr>
        <w:t>指财政当年拨付的资金。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eastAsia="zh-CN"/>
        </w:rPr>
        <w:t>二、其他收入：</w:t>
      </w:r>
      <w:r>
        <w:rPr>
          <w:rFonts w:hint="eastAsia" w:ascii="仿宋_GB2312" w:hAnsi="仿宋_GB2312" w:eastAsia="仿宋_GB2312" w:cs="仿宋_GB2312"/>
          <w:b w:val="0"/>
          <w:bCs/>
          <w:sz w:val="32"/>
          <w:szCs w:val="32"/>
          <w:highlight w:val="none"/>
          <w:lang w:eastAsia="zh-CN"/>
        </w:rPr>
        <w:t>指预算单位在“财政拨款收入”、“事业收入”、“经营收入”之外取得的收入。主要是按规定使用的上级财政补助经费和历年政府采购结转经费。</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eastAsia="zh-CN"/>
        </w:rPr>
        <w:t>三、一般公共服务支出：</w:t>
      </w:r>
      <w:r>
        <w:rPr>
          <w:rFonts w:hint="eastAsia" w:ascii="仿宋_GB2312" w:hAnsi="仿宋_GB2312" w:eastAsia="仿宋_GB2312" w:cs="仿宋_GB2312"/>
          <w:b w:val="0"/>
          <w:bCs w:val="0"/>
          <w:sz w:val="32"/>
          <w:szCs w:val="32"/>
          <w:highlight w:val="none"/>
          <w:lang w:eastAsia="zh-CN"/>
        </w:rPr>
        <w:t>反应政府提供一般公共服务的支出。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sz w:val="32"/>
          <w:szCs w:val="32"/>
          <w:highlight w:val="none"/>
          <w:lang w:eastAsia="zh-CN"/>
        </w:rPr>
        <w:t>四</w:t>
      </w:r>
      <w:r>
        <w:rPr>
          <w:rFonts w:hint="eastAsia" w:ascii="仿宋_GB2312" w:hAnsi="仿宋_GB2312" w:eastAsia="仿宋_GB2312" w:cs="仿宋_GB2312"/>
          <w:b/>
          <w:sz w:val="32"/>
          <w:szCs w:val="32"/>
          <w:highlight w:val="none"/>
        </w:rPr>
        <w:t>、行政运行</w:t>
      </w:r>
      <w:r>
        <w:rPr>
          <w:rFonts w:hint="eastAsia" w:ascii="仿宋_GB2312" w:hAnsi="仿宋_GB2312" w:eastAsia="仿宋_GB2312" w:cs="仿宋_GB2312"/>
          <w:b/>
          <w:sz w:val="32"/>
          <w:szCs w:val="32"/>
          <w:highlight w:val="none"/>
          <w:lang w:eastAsia="zh-CN"/>
        </w:rPr>
        <w:t>：</w:t>
      </w:r>
      <w:r>
        <w:rPr>
          <w:rFonts w:hint="eastAsia" w:ascii="仿宋_GB2312" w:hAnsi="仿宋_GB2312" w:eastAsia="仿宋_GB2312" w:cs="仿宋_GB2312"/>
          <w:sz w:val="32"/>
          <w:szCs w:val="32"/>
          <w:highlight w:val="none"/>
        </w:rPr>
        <w:t>指用于保障完成日常工作任务而发生的基本支出。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五、住房保障支出</w:t>
      </w:r>
      <w:r>
        <w:rPr>
          <w:rFonts w:hint="eastAsia" w:ascii="仿宋_GB2312" w:hAnsi="仿宋_GB2312" w:eastAsia="仿宋_GB2312" w:cs="仿宋_GB2312"/>
          <w:b/>
          <w:sz w:val="32"/>
          <w:szCs w:val="32"/>
          <w:highlight w:val="none"/>
          <w:lang w:eastAsia="zh-CN"/>
        </w:rPr>
        <w:t>：</w:t>
      </w:r>
      <w:r>
        <w:rPr>
          <w:rFonts w:hint="eastAsia" w:ascii="仿宋_GB2312" w:hAnsi="仿宋_GB2312" w:eastAsia="仿宋_GB2312" w:cs="仿宋_GB2312"/>
          <w:sz w:val="32"/>
          <w:szCs w:val="32"/>
          <w:highlight w:val="none"/>
        </w:rPr>
        <w:t>指按照国家政策规定用于住房方面的支出。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六、基本支出</w:t>
      </w:r>
      <w:r>
        <w:rPr>
          <w:rFonts w:hint="eastAsia" w:ascii="仿宋_GB2312" w:hAnsi="仿宋_GB2312" w:eastAsia="仿宋_GB2312" w:cs="仿宋_GB2312"/>
          <w:b/>
          <w:sz w:val="32"/>
          <w:szCs w:val="32"/>
          <w:highlight w:val="none"/>
          <w:lang w:eastAsia="zh-CN"/>
        </w:rPr>
        <w:t>：</w:t>
      </w:r>
      <w:r>
        <w:rPr>
          <w:rFonts w:hint="eastAsia" w:ascii="仿宋_GB2312" w:hAnsi="仿宋_GB2312" w:eastAsia="仿宋_GB2312" w:cs="仿宋_GB2312"/>
          <w:sz w:val="32"/>
          <w:szCs w:val="32"/>
          <w:highlight w:val="none"/>
        </w:rPr>
        <w:t>指为保障机构正常运转，完成日常工作任务而发生的人员支出</w:t>
      </w:r>
      <w:r>
        <w:rPr>
          <w:rFonts w:hint="eastAsia" w:ascii="仿宋_GB2312" w:hAnsi="仿宋_GB2312" w:eastAsia="仿宋_GB2312" w:cs="仿宋_GB2312"/>
          <w:sz w:val="32"/>
          <w:szCs w:val="32"/>
          <w:highlight w:val="none"/>
          <w:lang w:eastAsia="zh-CN"/>
        </w:rPr>
        <w:t>（包括基本工资、津贴补贴等）</w:t>
      </w:r>
      <w:r>
        <w:rPr>
          <w:rFonts w:hint="eastAsia" w:ascii="仿宋_GB2312" w:hAnsi="仿宋_GB2312" w:eastAsia="仿宋_GB2312" w:cs="仿宋_GB2312"/>
          <w:sz w:val="32"/>
          <w:szCs w:val="32"/>
          <w:highlight w:val="none"/>
        </w:rPr>
        <w:t>和公用支出</w:t>
      </w:r>
      <w:r>
        <w:rPr>
          <w:rFonts w:hint="eastAsia" w:ascii="仿宋_GB2312" w:hAnsi="仿宋_GB2312" w:eastAsia="仿宋_GB2312" w:cs="仿宋_GB2312"/>
          <w:sz w:val="32"/>
          <w:szCs w:val="32"/>
          <w:highlight w:val="none"/>
          <w:lang w:eastAsia="zh-CN"/>
        </w:rPr>
        <w:t>（包括办公费、邮电费、差旅费及印刷费等）</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七、项目支出，</w:t>
      </w:r>
      <w:r>
        <w:rPr>
          <w:rFonts w:hint="eastAsia" w:ascii="仿宋_GB2312" w:hAnsi="仿宋_GB2312" w:eastAsia="仿宋_GB2312" w:cs="仿宋_GB2312"/>
          <w:sz w:val="32"/>
          <w:szCs w:val="32"/>
          <w:highlight w:val="none"/>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eastAsia="zh-CN"/>
        </w:rPr>
        <w:t>八、年末结转和结余：</w:t>
      </w:r>
      <w:r>
        <w:rPr>
          <w:rFonts w:hint="eastAsia" w:ascii="仿宋_GB2312" w:hAnsi="仿宋_GB2312" w:eastAsia="仿宋_GB2312" w:cs="仿宋_GB2312"/>
          <w:b w:val="0"/>
          <w:bCs w:val="0"/>
          <w:sz w:val="32"/>
          <w:szCs w:val="32"/>
          <w:highlight w:val="none"/>
          <w:lang w:eastAsia="zh-CN"/>
        </w:rPr>
        <w:t>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eastAsia="zh-CN"/>
        </w:rPr>
        <w:t>九</w:t>
      </w:r>
      <w:r>
        <w:rPr>
          <w:rFonts w:hint="eastAsia" w:ascii="仿宋_GB2312" w:hAnsi="仿宋_GB2312" w:eastAsia="仿宋_GB2312" w:cs="仿宋_GB2312"/>
          <w:b/>
          <w:sz w:val="32"/>
          <w:szCs w:val="32"/>
          <w:highlight w:val="none"/>
        </w:rPr>
        <w:t>、</w:t>
      </w:r>
      <w:r>
        <w:rPr>
          <w:rFonts w:ascii="仿宋_GB2312" w:hAnsi="仿宋_GB2312" w:eastAsia="仿宋_GB2312" w:cs="仿宋_GB2312"/>
          <w:b/>
          <w:sz w:val="32"/>
          <w:szCs w:val="32"/>
          <w:highlight w:val="none"/>
        </w:rPr>
        <w:t>“</w:t>
      </w:r>
      <w:r>
        <w:rPr>
          <w:rFonts w:hint="eastAsia" w:ascii="仿宋_GB2312" w:hAnsi="仿宋_GB2312" w:eastAsia="仿宋_GB2312" w:cs="仿宋_GB2312"/>
          <w:b/>
          <w:sz w:val="32"/>
          <w:szCs w:val="32"/>
          <w:highlight w:val="none"/>
        </w:rPr>
        <w:t>三公</w:t>
      </w:r>
      <w:r>
        <w:rPr>
          <w:rFonts w:ascii="仿宋_GB2312" w:hAnsi="仿宋_GB2312" w:eastAsia="仿宋_GB2312" w:cs="仿宋_GB2312"/>
          <w:b/>
          <w:sz w:val="32"/>
          <w:szCs w:val="32"/>
          <w:highlight w:val="none"/>
        </w:rPr>
        <w:t>”</w:t>
      </w:r>
      <w:r>
        <w:rPr>
          <w:rFonts w:hint="eastAsia" w:ascii="仿宋_GB2312" w:hAnsi="仿宋_GB2312" w:eastAsia="仿宋_GB2312" w:cs="仿宋_GB2312"/>
          <w:b/>
          <w:sz w:val="32"/>
          <w:szCs w:val="32"/>
          <w:highlight w:val="none"/>
        </w:rPr>
        <w:t>经费</w:t>
      </w:r>
      <w:r>
        <w:rPr>
          <w:rFonts w:hint="eastAsia" w:ascii="仿宋_GB2312" w:hAnsi="仿宋_GB2312" w:eastAsia="仿宋_GB2312" w:cs="仿宋_GB2312"/>
          <w:b/>
          <w:sz w:val="32"/>
          <w:szCs w:val="32"/>
          <w:highlight w:val="none"/>
          <w:lang w:eastAsia="zh-CN"/>
        </w:rPr>
        <w:t>：</w:t>
      </w:r>
      <w:r>
        <w:rPr>
          <w:rFonts w:hint="eastAsia" w:ascii="仿宋_GB2312" w:hAnsi="仿宋_GB2312" w:eastAsia="仿宋_GB2312" w:cs="仿宋_GB2312"/>
          <w:sz w:val="32"/>
          <w:szCs w:val="32"/>
          <w:highlight w:val="none"/>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jc w:val="both"/>
        <w:textAlignment w:val="auto"/>
        <w:rPr>
          <w:rFonts w:ascii="黑体" w:eastAsia="黑体"/>
          <w:sz w:val="32"/>
          <w:szCs w:val="32"/>
          <w:highlight w:val="none"/>
        </w:rPr>
      </w:pPr>
      <w:r>
        <w:rPr>
          <w:rFonts w:hint="eastAsia" w:ascii="仿宋_GB2312" w:hAnsi="仿宋_GB2312" w:eastAsia="仿宋_GB2312" w:cs="仿宋_GB2312"/>
          <w:b/>
          <w:sz w:val="32"/>
          <w:szCs w:val="32"/>
          <w:highlight w:val="none"/>
          <w:lang w:eastAsia="zh-CN"/>
        </w:rPr>
        <w:t>十</w:t>
      </w:r>
      <w:r>
        <w:rPr>
          <w:rFonts w:hint="eastAsia" w:ascii="仿宋_GB2312" w:hAnsi="仿宋_GB2312" w:eastAsia="仿宋_GB2312" w:cs="仿宋_GB2312"/>
          <w:b/>
          <w:sz w:val="32"/>
          <w:szCs w:val="32"/>
          <w:highlight w:val="none"/>
        </w:rPr>
        <w:t>、机关运行经费，</w:t>
      </w:r>
      <w:r>
        <w:rPr>
          <w:rFonts w:hint="eastAsia" w:ascii="仿宋_GB2312" w:hAnsi="仿宋_GB2312" w:eastAsia="仿宋_GB2312" w:cs="仿宋_GB2312"/>
          <w:sz w:val="32"/>
          <w:szCs w:val="32"/>
          <w:highlight w:val="none"/>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pPr>
        <w:ind w:firstLine="640" w:firstLineChars="200"/>
        <w:rPr>
          <w:rFonts w:ascii="仿宋_GB2312" w:hAnsi="仿宋_GB2312" w:eastAsia="仿宋_GB2312" w:cs="仿宋_GB2312"/>
          <w:sz w:val="32"/>
          <w:szCs w:val="32"/>
          <w:highlight w:val="none"/>
        </w:rPr>
      </w:pPr>
    </w:p>
    <w:p>
      <w:pPr>
        <w:ind w:left="480"/>
        <w:jc w:val="left"/>
        <w:rPr>
          <w:rFonts w:ascii="黑体" w:eastAsia="黑体"/>
          <w:sz w:val="32"/>
          <w:szCs w:val="32"/>
          <w:highlight w:val="none"/>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- 3 -</w:t>
                </w:r>
                <w:r>
                  <w:rPr>
                    <w:rFonts w:hint="eastAsia" w:ascii="仿宋" w:hAnsi="仿宋" w:eastAsia="仿宋" w:cs="仿宋"/>
                    <w:sz w:val="24"/>
                    <w:szCs w:val="24"/>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0EE010"/>
    <w:multiLevelType w:val="singleLevel"/>
    <w:tmpl w:val="F50EE010"/>
    <w:lvl w:ilvl="0" w:tentative="0">
      <w:start w:val="1"/>
      <w:numFmt w:val="decimal"/>
      <w:lvlText w:val="%1."/>
      <w:lvlJc w:val="left"/>
      <w:pPr>
        <w:tabs>
          <w:tab w:val="left" w:pos="312"/>
        </w:tabs>
      </w:pPr>
    </w:lvl>
  </w:abstractNum>
  <w:abstractNum w:abstractNumId="1">
    <w:nsid w:val="347EE069"/>
    <w:multiLevelType w:val="singleLevel"/>
    <w:tmpl w:val="347EE069"/>
    <w:lvl w:ilvl="0" w:tentative="0">
      <w:start w:val="1"/>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05B8"/>
    <w:rsid w:val="00016C44"/>
    <w:rsid w:val="00043D60"/>
    <w:rsid w:val="00054E45"/>
    <w:rsid w:val="000607F3"/>
    <w:rsid w:val="00086A9F"/>
    <w:rsid w:val="0009057B"/>
    <w:rsid w:val="000A2894"/>
    <w:rsid w:val="000A5378"/>
    <w:rsid w:val="000B783F"/>
    <w:rsid w:val="000D0595"/>
    <w:rsid w:val="000D4985"/>
    <w:rsid w:val="00126EFE"/>
    <w:rsid w:val="001317C0"/>
    <w:rsid w:val="0014514F"/>
    <w:rsid w:val="00157679"/>
    <w:rsid w:val="0018256F"/>
    <w:rsid w:val="00182F3B"/>
    <w:rsid w:val="001853F5"/>
    <w:rsid w:val="00192643"/>
    <w:rsid w:val="001C0F82"/>
    <w:rsid w:val="001C3A6C"/>
    <w:rsid w:val="001C5F53"/>
    <w:rsid w:val="001D7F86"/>
    <w:rsid w:val="001F3F40"/>
    <w:rsid w:val="0020740D"/>
    <w:rsid w:val="002105BA"/>
    <w:rsid w:val="0021393A"/>
    <w:rsid w:val="00220150"/>
    <w:rsid w:val="00254134"/>
    <w:rsid w:val="00262EA0"/>
    <w:rsid w:val="00271B78"/>
    <w:rsid w:val="002817C5"/>
    <w:rsid w:val="00284ED4"/>
    <w:rsid w:val="00286E41"/>
    <w:rsid w:val="002A6A25"/>
    <w:rsid w:val="002C7AB7"/>
    <w:rsid w:val="002D72FE"/>
    <w:rsid w:val="002E7870"/>
    <w:rsid w:val="002F4A21"/>
    <w:rsid w:val="002F4B79"/>
    <w:rsid w:val="002F5DE7"/>
    <w:rsid w:val="0031038C"/>
    <w:rsid w:val="00320A35"/>
    <w:rsid w:val="0032333D"/>
    <w:rsid w:val="0036111C"/>
    <w:rsid w:val="003627C4"/>
    <w:rsid w:val="003743EB"/>
    <w:rsid w:val="00381692"/>
    <w:rsid w:val="00382ED7"/>
    <w:rsid w:val="0038317D"/>
    <w:rsid w:val="00397491"/>
    <w:rsid w:val="0039795E"/>
    <w:rsid w:val="003B2CE5"/>
    <w:rsid w:val="003C5576"/>
    <w:rsid w:val="003D2184"/>
    <w:rsid w:val="00424DB7"/>
    <w:rsid w:val="00426560"/>
    <w:rsid w:val="00433ACE"/>
    <w:rsid w:val="004349E9"/>
    <w:rsid w:val="00440864"/>
    <w:rsid w:val="004652C4"/>
    <w:rsid w:val="0048613F"/>
    <w:rsid w:val="0048713A"/>
    <w:rsid w:val="00493967"/>
    <w:rsid w:val="004A2C48"/>
    <w:rsid w:val="004A3D10"/>
    <w:rsid w:val="004B3831"/>
    <w:rsid w:val="004C3C58"/>
    <w:rsid w:val="004D6DBC"/>
    <w:rsid w:val="004E4C77"/>
    <w:rsid w:val="00502C0D"/>
    <w:rsid w:val="00516720"/>
    <w:rsid w:val="00520B00"/>
    <w:rsid w:val="0052273C"/>
    <w:rsid w:val="00530DB1"/>
    <w:rsid w:val="005320AE"/>
    <w:rsid w:val="00546D0D"/>
    <w:rsid w:val="00547B87"/>
    <w:rsid w:val="00551770"/>
    <w:rsid w:val="005879F2"/>
    <w:rsid w:val="00591EDB"/>
    <w:rsid w:val="005931B7"/>
    <w:rsid w:val="005A6CDD"/>
    <w:rsid w:val="005C1A37"/>
    <w:rsid w:val="005C2AA8"/>
    <w:rsid w:val="005D7C94"/>
    <w:rsid w:val="005E75C1"/>
    <w:rsid w:val="00635666"/>
    <w:rsid w:val="0064191F"/>
    <w:rsid w:val="00642876"/>
    <w:rsid w:val="00645A80"/>
    <w:rsid w:val="0065270E"/>
    <w:rsid w:val="006548F7"/>
    <w:rsid w:val="00675798"/>
    <w:rsid w:val="006773DE"/>
    <w:rsid w:val="006A4063"/>
    <w:rsid w:val="006D4CCB"/>
    <w:rsid w:val="006E6A2B"/>
    <w:rsid w:val="0070214C"/>
    <w:rsid w:val="0070260A"/>
    <w:rsid w:val="00705358"/>
    <w:rsid w:val="00712AED"/>
    <w:rsid w:val="00730C30"/>
    <w:rsid w:val="00741A8B"/>
    <w:rsid w:val="007528F7"/>
    <w:rsid w:val="00777A2B"/>
    <w:rsid w:val="0078602E"/>
    <w:rsid w:val="007955C4"/>
    <w:rsid w:val="007A0806"/>
    <w:rsid w:val="007A62E0"/>
    <w:rsid w:val="007C43FB"/>
    <w:rsid w:val="007D01E9"/>
    <w:rsid w:val="007D5217"/>
    <w:rsid w:val="007E301B"/>
    <w:rsid w:val="008029FA"/>
    <w:rsid w:val="00805CE7"/>
    <w:rsid w:val="00812641"/>
    <w:rsid w:val="00815254"/>
    <w:rsid w:val="00821F41"/>
    <w:rsid w:val="008235BF"/>
    <w:rsid w:val="00835C20"/>
    <w:rsid w:val="00836944"/>
    <w:rsid w:val="00872F0E"/>
    <w:rsid w:val="00886BE8"/>
    <w:rsid w:val="008B2AA9"/>
    <w:rsid w:val="008B6FD9"/>
    <w:rsid w:val="008B7FDB"/>
    <w:rsid w:val="008C052F"/>
    <w:rsid w:val="008E7B46"/>
    <w:rsid w:val="00900172"/>
    <w:rsid w:val="009028C4"/>
    <w:rsid w:val="009033F7"/>
    <w:rsid w:val="00926570"/>
    <w:rsid w:val="009A2610"/>
    <w:rsid w:val="009A4D5A"/>
    <w:rsid w:val="009B0039"/>
    <w:rsid w:val="009B5EA4"/>
    <w:rsid w:val="009B775A"/>
    <w:rsid w:val="009D7E33"/>
    <w:rsid w:val="009E3CF4"/>
    <w:rsid w:val="009E6E04"/>
    <w:rsid w:val="009F4B7D"/>
    <w:rsid w:val="00A0051C"/>
    <w:rsid w:val="00A0582B"/>
    <w:rsid w:val="00A15F59"/>
    <w:rsid w:val="00A20FB5"/>
    <w:rsid w:val="00A26EDD"/>
    <w:rsid w:val="00A377C1"/>
    <w:rsid w:val="00A559DA"/>
    <w:rsid w:val="00A63A81"/>
    <w:rsid w:val="00A8178C"/>
    <w:rsid w:val="00AB67E2"/>
    <w:rsid w:val="00AC462B"/>
    <w:rsid w:val="00AC775C"/>
    <w:rsid w:val="00AD7F12"/>
    <w:rsid w:val="00AE1B8B"/>
    <w:rsid w:val="00AE1D6D"/>
    <w:rsid w:val="00B059F0"/>
    <w:rsid w:val="00B07069"/>
    <w:rsid w:val="00B20D15"/>
    <w:rsid w:val="00B2450D"/>
    <w:rsid w:val="00B34B22"/>
    <w:rsid w:val="00B614C3"/>
    <w:rsid w:val="00B6564E"/>
    <w:rsid w:val="00B71650"/>
    <w:rsid w:val="00B716A8"/>
    <w:rsid w:val="00B87F89"/>
    <w:rsid w:val="00B971E2"/>
    <w:rsid w:val="00BA685C"/>
    <w:rsid w:val="00BB17A4"/>
    <w:rsid w:val="00BC3B74"/>
    <w:rsid w:val="00C0256A"/>
    <w:rsid w:val="00C2739C"/>
    <w:rsid w:val="00C7306A"/>
    <w:rsid w:val="00C742B2"/>
    <w:rsid w:val="00C76D56"/>
    <w:rsid w:val="00C8046F"/>
    <w:rsid w:val="00C91B68"/>
    <w:rsid w:val="00C92C50"/>
    <w:rsid w:val="00CB141A"/>
    <w:rsid w:val="00CC1D3A"/>
    <w:rsid w:val="00CD78D5"/>
    <w:rsid w:val="00D02168"/>
    <w:rsid w:val="00D06EA8"/>
    <w:rsid w:val="00D20F08"/>
    <w:rsid w:val="00D4141F"/>
    <w:rsid w:val="00D522A4"/>
    <w:rsid w:val="00D71343"/>
    <w:rsid w:val="00D7224C"/>
    <w:rsid w:val="00D87458"/>
    <w:rsid w:val="00DA653D"/>
    <w:rsid w:val="00DB6465"/>
    <w:rsid w:val="00DC1B16"/>
    <w:rsid w:val="00DF56D0"/>
    <w:rsid w:val="00DF7D53"/>
    <w:rsid w:val="00E20BC6"/>
    <w:rsid w:val="00E30894"/>
    <w:rsid w:val="00E36848"/>
    <w:rsid w:val="00E43DB9"/>
    <w:rsid w:val="00E55176"/>
    <w:rsid w:val="00E56AF4"/>
    <w:rsid w:val="00E6504C"/>
    <w:rsid w:val="00E75F86"/>
    <w:rsid w:val="00E809B6"/>
    <w:rsid w:val="00E90E7B"/>
    <w:rsid w:val="00E93433"/>
    <w:rsid w:val="00EA30DA"/>
    <w:rsid w:val="00EE4400"/>
    <w:rsid w:val="00EE556F"/>
    <w:rsid w:val="00EE566D"/>
    <w:rsid w:val="00F24C6F"/>
    <w:rsid w:val="00F437D4"/>
    <w:rsid w:val="00F57203"/>
    <w:rsid w:val="00F82A28"/>
    <w:rsid w:val="00F9225B"/>
    <w:rsid w:val="00F93544"/>
    <w:rsid w:val="00F93BD0"/>
    <w:rsid w:val="00F95DE0"/>
    <w:rsid w:val="00FB05B8"/>
    <w:rsid w:val="00FB5134"/>
    <w:rsid w:val="00FB76B5"/>
    <w:rsid w:val="00FC022B"/>
    <w:rsid w:val="00FC5851"/>
    <w:rsid w:val="00FD5A71"/>
    <w:rsid w:val="00FE3A86"/>
    <w:rsid w:val="00FF04FB"/>
    <w:rsid w:val="01190754"/>
    <w:rsid w:val="01411BDE"/>
    <w:rsid w:val="014F743E"/>
    <w:rsid w:val="0160739F"/>
    <w:rsid w:val="0169219B"/>
    <w:rsid w:val="01AA5AC3"/>
    <w:rsid w:val="01C85711"/>
    <w:rsid w:val="0222460E"/>
    <w:rsid w:val="02406968"/>
    <w:rsid w:val="0265089F"/>
    <w:rsid w:val="027C5AE7"/>
    <w:rsid w:val="02CA7879"/>
    <w:rsid w:val="02D72CED"/>
    <w:rsid w:val="037E5F1D"/>
    <w:rsid w:val="03DA0031"/>
    <w:rsid w:val="03EC44F3"/>
    <w:rsid w:val="03FD70A9"/>
    <w:rsid w:val="043B2C3A"/>
    <w:rsid w:val="04815BD5"/>
    <w:rsid w:val="05097677"/>
    <w:rsid w:val="054165E9"/>
    <w:rsid w:val="060825F0"/>
    <w:rsid w:val="063E3381"/>
    <w:rsid w:val="0643722A"/>
    <w:rsid w:val="065E21CA"/>
    <w:rsid w:val="06E8512E"/>
    <w:rsid w:val="06E97EA9"/>
    <w:rsid w:val="071E1426"/>
    <w:rsid w:val="07594DF7"/>
    <w:rsid w:val="077477A9"/>
    <w:rsid w:val="077949DE"/>
    <w:rsid w:val="07B34C51"/>
    <w:rsid w:val="080201B4"/>
    <w:rsid w:val="08207909"/>
    <w:rsid w:val="088439AF"/>
    <w:rsid w:val="08D031DD"/>
    <w:rsid w:val="08E30F54"/>
    <w:rsid w:val="0915429C"/>
    <w:rsid w:val="09213420"/>
    <w:rsid w:val="09383344"/>
    <w:rsid w:val="098E615B"/>
    <w:rsid w:val="09CD1DDE"/>
    <w:rsid w:val="09D23368"/>
    <w:rsid w:val="09F407D8"/>
    <w:rsid w:val="0A1E26CD"/>
    <w:rsid w:val="0A2F3C47"/>
    <w:rsid w:val="0A4E1AEA"/>
    <w:rsid w:val="0A617FB0"/>
    <w:rsid w:val="0AE05687"/>
    <w:rsid w:val="0AE77AF1"/>
    <w:rsid w:val="0AF4222B"/>
    <w:rsid w:val="0AF7325D"/>
    <w:rsid w:val="0B1A11A3"/>
    <w:rsid w:val="0B4F32CB"/>
    <w:rsid w:val="0B720DAD"/>
    <w:rsid w:val="0BCD4F1D"/>
    <w:rsid w:val="0BE71D4B"/>
    <w:rsid w:val="0BEC7BC1"/>
    <w:rsid w:val="0BED349F"/>
    <w:rsid w:val="0C190FDA"/>
    <w:rsid w:val="0C1E1F83"/>
    <w:rsid w:val="0C304BB0"/>
    <w:rsid w:val="0C5A6A4B"/>
    <w:rsid w:val="0C5B5F56"/>
    <w:rsid w:val="0CBB7325"/>
    <w:rsid w:val="0D2B3957"/>
    <w:rsid w:val="0D5601AB"/>
    <w:rsid w:val="0D7C2323"/>
    <w:rsid w:val="0D8F357F"/>
    <w:rsid w:val="0DDC3C40"/>
    <w:rsid w:val="0DE407D7"/>
    <w:rsid w:val="0E0D73AC"/>
    <w:rsid w:val="0E202DD1"/>
    <w:rsid w:val="0E341CF7"/>
    <w:rsid w:val="0E511891"/>
    <w:rsid w:val="0E5A45C9"/>
    <w:rsid w:val="0E5C0A62"/>
    <w:rsid w:val="0E8D4346"/>
    <w:rsid w:val="0E9B4A5F"/>
    <w:rsid w:val="0EA0761E"/>
    <w:rsid w:val="0EA63A7E"/>
    <w:rsid w:val="0F260AEC"/>
    <w:rsid w:val="0F313772"/>
    <w:rsid w:val="0F443A6F"/>
    <w:rsid w:val="0F775EC7"/>
    <w:rsid w:val="0FC65547"/>
    <w:rsid w:val="0FCC34FC"/>
    <w:rsid w:val="0FED4320"/>
    <w:rsid w:val="102E66FD"/>
    <w:rsid w:val="106B4098"/>
    <w:rsid w:val="10E16DBA"/>
    <w:rsid w:val="10FE7208"/>
    <w:rsid w:val="111D5572"/>
    <w:rsid w:val="115616DD"/>
    <w:rsid w:val="11897E1C"/>
    <w:rsid w:val="11D71DB8"/>
    <w:rsid w:val="120E3A6C"/>
    <w:rsid w:val="1257313B"/>
    <w:rsid w:val="12601F0B"/>
    <w:rsid w:val="127B7321"/>
    <w:rsid w:val="132E7FA6"/>
    <w:rsid w:val="133B537F"/>
    <w:rsid w:val="13D7782C"/>
    <w:rsid w:val="13E9383C"/>
    <w:rsid w:val="1469705C"/>
    <w:rsid w:val="14EF7838"/>
    <w:rsid w:val="14F77C11"/>
    <w:rsid w:val="15131DF0"/>
    <w:rsid w:val="151C638B"/>
    <w:rsid w:val="15226909"/>
    <w:rsid w:val="1525638D"/>
    <w:rsid w:val="15274957"/>
    <w:rsid w:val="154F5D4D"/>
    <w:rsid w:val="1594320F"/>
    <w:rsid w:val="15EC5170"/>
    <w:rsid w:val="162A797C"/>
    <w:rsid w:val="16393AEE"/>
    <w:rsid w:val="165C1EC5"/>
    <w:rsid w:val="16F35772"/>
    <w:rsid w:val="17B7334E"/>
    <w:rsid w:val="17CD2403"/>
    <w:rsid w:val="17E937AE"/>
    <w:rsid w:val="181D48C4"/>
    <w:rsid w:val="18255DD6"/>
    <w:rsid w:val="185B13AE"/>
    <w:rsid w:val="188C0ABD"/>
    <w:rsid w:val="18EB15EF"/>
    <w:rsid w:val="19234752"/>
    <w:rsid w:val="192B0B9A"/>
    <w:rsid w:val="192E320B"/>
    <w:rsid w:val="197856BC"/>
    <w:rsid w:val="19AA096B"/>
    <w:rsid w:val="19DC3CF4"/>
    <w:rsid w:val="1A6105B6"/>
    <w:rsid w:val="1A707545"/>
    <w:rsid w:val="1A7B0FF9"/>
    <w:rsid w:val="1ACE64AB"/>
    <w:rsid w:val="1AEC2C50"/>
    <w:rsid w:val="1B057A41"/>
    <w:rsid w:val="1B367D8E"/>
    <w:rsid w:val="1B7109B6"/>
    <w:rsid w:val="1C0D3A85"/>
    <w:rsid w:val="1C8A7D2D"/>
    <w:rsid w:val="1C93612C"/>
    <w:rsid w:val="1CAE2196"/>
    <w:rsid w:val="1D323688"/>
    <w:rsid w:val="1DCE5AB6"/>
    <w:rsid w:val="1DEB67E3"/>
    <w:rsid w:val="1DF65BA3"/>
    <w:rsid w:val="1E8C2CD6"/>
    <w:rsid w:val="1EC46953"/>
    <w:rsid w:val="1F352739"/>
    <w:rsid w:val="1F404C92"/>
    <w:rsid w:val="1F4A2C87"/>
    <w:rsid w:val="1F732CC3"/>
    <w:rsid w:val="1FDC3875"/>
    <w:rsid w:val="1FF64AF5"/>
    <w:rsid w:val="20060581"/>
    <w:rsid w:val="201D4D0E"/>
    <w:rsid w:val="20615153"/>
    <w:rsid w:val="20784604"/>
    <w:rsid w:val="209A2193"/>
    <w:rsid w:val="20A27992"/>
    <w:rsid w:val="20AD33C0"/>
    <w:rsid w:val="20B014F7"/>
    <w:rsid w:val="20B047F8"/>
    <w:rsid w:val="20BB13C9"/>
    <w:rsid w:val="21344B4B"/>
    <w:rsid w:val="21357098"/>
    <w:rsid w:val="21B17A58"/>
    <w:rsid w:val="21B3797C"/>
    <w:rsid w:val="21DD2940"/>
    <w:rsid w:val="21DF1099"/>
    <w:rsid w:val="22264BFB"/>
    <w:rsid w:val="228D60F6"/>
    <w:rsid w:val="22933B81"/>
    <w:rsid w:val="23021452"/>
    <w:rsid w:val="23105FD7"/>
    <w:rsid w:val="232F0410"/>
    <w:rsid w:val="233A7A0A"/>
    <w:rsid w:val="238A6703"/>
    <w:rsid w:val="23AD4F2E"/>
    <w:rsid w:val="23E0752E"/>
    <w:rsid w:val="240235FB"/>
    <w:rsid w:val="241033B9"/>
    <w:rsid w:val="24262A62"/>
    <w:rsid w:val="24633129"/>
    <w:rsid w:val="247C476A"/>
    <w:rsid w:val="24925309"/>
    <w:rsid w:val="24C70A7D"/>
    <w:rsid w:val="24E207E3"/>
    <w:rsid w:val="24F401BB"/>
    <w:rsid w:val="24F63A00"/>
    <w:rsid w:val="255741FF"/>
    <w:rsid w:val="25615BEB"/>
    <w:rsid w:val="25660E2E"/>
    <w:rsid w:val="258D7E8D"/>
    <w:rsid w:val="26046103"/>
    <w:rsid w:val="261F69B7"/>
    <w:rsid w:val="26EB4081"/>
    <w:rsid w:val="27716619"/>
    <w:rsid w:val="27C7044C"/>
    <w:rsid w:val="27F90679"/>
    <w:rsid w:val="281618C5"/>
    <w:rsid w:val="28176281"/>
    <w:rsid w:val="28247C87"/>
    <w:rsid w:val="28376E94"/>
    <w:rsid w:val="285828E5"/>
    <w:rsid w:val="28653502"/>
    <w:rsid w:val="287309F7"/>
    <w:rsid w:val="28746B4A"/>
    <w:rsid w:val="28CA0FE2"/>
    <w:rsid w:val="28D36E04"/>
    <w:rsid w:val="291558A3"/>
    <w:rsid w:val="29487BC6"/>
    <w:rsid w:val="29551ED8"/>
    <w:rsid w:val="29831A2D"/>
    <w:rsid w:val="298C2759"/>
    <w:rsid w:val="29A7505E"/>
    <w:rsid w:val="29FA6023"/>
    <w:rsid w:val="2A337514"/>
    <w:rsid w:val="2A753821"/>
    <w:rsid w:val="2A9F5C2C"/>
    <w:rsid w:val="2AED2707"/>
    <w:rsid w:val="2B220DAD"/>
    <w:rsid w:val="2B4F3BB5"/>
    <w:rsid w:val="2B5D54E7"/>
    <w:rsid w:val="2B5E29B1"/>
    <w:rsid w:val="2C2529BD"/>
    <w:rsid w:val="2C82694E"/>
    <w:rsid w:val="2D01320C"/>
    <w:rsid w:val="2D21246F"/>
    <w:rsid w:val="2D3A646F"/>
    <w:rsid w:val="2D5B7474"/>
    <w:rsid w:val="2D7B6A45"/>
    <w:rsid w:val="2D844255"/>
    <w:rsid w:val="2DA83E89"/>
    <w:rsid w:val="2DF41F4C"/>
    <w:rsid w:val="2E177979"/>
    <w:rsid w:val="2E331C8F"/>
    <w:rsid w:val="2E3C12F8"/>
    <w:rsid w:val="2E4A7695"/>
    <w:rsid w:val="2E61515A"/>
    <w:rsid w:val="2E6F28BA"/>
    <w:rsid w:val="2E7D68FA"/>
    <w:rsid w:val="2EE26B9D"/>
    <w:rsid w:val="2EEF239B"/>
    <w:rsid w:val="2F131B64"/>
    <w:rsid w:val="2F1A79B2"/>
    <w:rsid w:val="2F9031C9"/>
    <w:rsid w:val="2FCC70D8"/>
    <w:rsid w:val="2FDF60C1"/>
    <w:rsid w:val="307F76B3"/>
    <w:rsid w:val="30B85EDF"/>
    <w:rsid w:val="30E273D5"/>
    <w:rsid w:val="311F1E9F"/>
    <w:rsid w:val="31871F90"/>
    <w:rsid w:val="31A3609D"/>
    <w:rsid w:val="31F8192B"/>
    <w:rsid w:val="32114431"/>
    <w:rsid w:val="322D2CB4"/>
    <w:rsid w:val="32933866"/>
    <w:rsid w:val="32D108F1"/>
    <w:rsid w:val="33A73A6E"/>
    <w:rsid w:val="33A91A06"/>
    <w:rsid w:val="33D608B3"/>
    <w:rsid w:val="33EE45A0"/>
    <w:rsid w:val="341A178E"/>
    <w:rsid w:val="34360EE0"/>
    <w:rsid w:val="34520027"/>
    <w:rsid w:val="34524EB7"/>
    <w:rsid w:val="3455668C"/>
    <w:rsid w:val="345C23B7"/>
    <w:rsid w:val="348859FE"/>
    <w:rsid w:val="34DA4A3E"/>
    <w:rsid w:val="34E15892"/>
    <w:rsid w:val="3511435E"/>
    <w:rsid w:val="355431A7"/>
    <w:rsid w:val="357525C9"/>
    <w:rsid w:val="35933AE6"/>
    <w:rsid w:val="35AB6C71"/>
    <w:rsid w:val="35C25411"/>
    <w:rsid w:val="35D25DC6"/>
    <w:rsid w:val="35ED61F6"/>
    <w:rsid w:val="36137A13"/>
    <w:rsid w:val="368E7BB6"/>
    <w:rsid w:val="36AD40BA"/>
    <w:rsid w:val="3737610F"/>
    <w:rsid w:val="374D5432"/>
    <w:rsid w:val="37507B97"/>
    <w:rsid w:val="376800F7"/>
    <w:rsid w:val="37970C53"/>
    <w:rsid w:val="37DE233C"/>
    <w:rsid w:val="38D3595B"/>
    <w:rsid w:val="397321E5"/>
    <w:rsid w:val="399120D1"/>
    <w:rsid w:val="39C24964"/>
    <w:rsid w:val="3A0E62A5"/>
    <w:rsid w:val="3A170417"/>
    <w:rsid w:val="3A657A4A"/>
    <w:rsid w:val="3A7F469D"/>
    <w:rsid w:val="3A9C47F5"/>
    <w:rsid w:val="3B2B5AE8"/>
    <w:rsid w:val="3B4A7624"/>
    <w:rsid w:val="3BCC7916"/>
    <w:rsid w:val="3C272250"/>
    <w:rsid w:val="3C5E58C4"/>
    <w:rsid w:val="3C720321"/>
    <w:rsid w:val="3C7A2CE2"/>
    <w:rsid w:val="3C7E7DD7"/>
    <w:rsid w:val="3CB4373A"/>
    <w:rsid w:val="3CEB7B3A"/>
    <w:rsid w:val="3CF303F6"/>
    <w:rsid w:val="3D2C717E"/>
    <w:rsid w:val="3DC24A10"/>
    <w:rsid w:val="3E04466D"/>
    <w:rsid w:val="3E0502C1"/>
    <w:rsid w:val="3E3D5C2B"/>
    <w:rsid w:val="3EBA4C2E"/>
    <w:rsid w:val="3F131871"/>
    <w:rsid w:val="3F61072F"/>
    <w:rsid w:val="3F695B2B"/>
    <w:rsid w:val="3F796BD4"/>
    <w:rsid w:val="3F8A0ED3"/>
    <w:rsid w:val="3FA6594E"/>
    <w:rsid w:val="3FCE5511"/>
    <w:rsid w:val="3FE14580"/>
    <w:rsid w:val="400E1E38"/>
    <w:rsid w:val="402463CB"/>
    <w:rsid w:val="40524664"/>
    <w:rsid w:val="4085534C"/>
    <w:rsid w:val="408A0A24"/>
    <w:rsid w:val="409A53EB"/>
    <w:rsid w:val="40B777D3"/>
    <w:rsid w:val="40FF4699"/>
    <w:rsid w:val="412B1E92"/>
    <w:rsid w:val="413A6B31"/>
    <w:rsid w:val="4140798F"/>
    <w:rsid w:val="414E1C42"/>
    <w:rsid w:val="41517023"/>
    <w:rsid w:val="416E066D"/>
    <w:rsid w:val="41815E1D"/>
    <w:rsid w:val="42155935"/>
    <w:rsid w:val="423E4ED9"/>
    <w:rsid w:val="426E267A"/>
    <w:rsid w:val="43375BBF"/>
    <w:rsid w:val="43960FD8"/>
    <w:rsid w:val="43D50FEC"/>
    <w:rsid w:val="43D910F0"/>
    <w:rsid w:val="43F62BC1"/>
    <w:rsid w:val="449C66AF"/>
    <w:rsid w:val="44C96627"/>
    <w:rsid w:val="44CB088F"/>
    <w:rsid w:val="44F57E99"/>
    <w:rsid w:val="45065B38"/>
    <w:rsid w:val="45150771"/>
    <w:rsid w:val="454476BE"/>
    <w:rsid w:val="454756A0"/>
    <w:rsid w:val="45847093"/>
    <w:rsid w:val="45B97A14"/>
    <w:rsid w:val="461B7A3A"/>
    <w:rsid w:val="4653609C"/>
    <w:rsid w:val="46CC256C"/>
    <w:rsid w:val="46E36A7D"/>
    <w:rsid w:val="47045DC3"/>
    <w:rsid w:val="477D0A2F"/>
    <w:rsid w:val="47A82FFD"/>
    <w:rsid w:val="47B701F5"/>
    <w:rsid w:val="47EB56E1"/>
    <w:rsid w:val="4849005D"/>
    <w:rsid w:val="48545ACA"/>
    <w:rsid w:val="48654977"/>
    <w:rsid w:val="488C6E75"/>
    <w:rsid w:val="48C321F4"/>
    <w:rsid w:val="48D151DA"/>
    <w:rsid w:val="48DE5B50"/>
    <w:rsid w:val="48FF0DFE"/>
    <w:rsid w:val="498A467B"/>
    <w:rsid w:val="49AD72D9"/>
    <w:rsid w:val="49BF2265"/>
    <w:rsid w:val="49CA4591"/>
    <w:rsid w:val="4A7D48B5"/>
    <w:rsid w:val="4AE2074A"/>
    <w:rsid w:val="4AE35FAB"/>
    <w:rsid w:val="4B044DB0"/>
    <w:rsid w:val="4C2131E6"/>
    <w:rsid w:val="4C2E7F1D"/>
    <w:rsid w:val="4C7B3A6C"/>
    <w:rsid w:val="4C8009A3"/>
    <w:rsid w:val="4CA5688D"/>
    <w:rsid w:val="4D0647E6"/>
    <w:rsid w:val="4D3D6ABF"/>
    <w:rsid w:val="4D5B71EC"/>
    <w:rsid w:val="4D895B83"/>
    <w:rsid w:val="4DC14920"/>
    <w:rsid w:val="4E111275"/>
    <w:rsid w:val="4E2D74E1"/>
    <w:rsid w:val="4E824F9D"/>
    <w:rsid w:val="4EDD08E9"/>
    <w:rsid w:val="4EFC718B"/>
    <w:rsid w:val="4F0768BB"/>
    <w:rsid w:val="4F114B96"/>
    <w:rsid w:val="4F2308EF"/>
    <w:rsid w:val="4F294268"/>
    <w:rsid w:val="4F480852"/>
    <w:rsid w:val="5034385D"/>
    <w:rsid w:val="5075485B"/>
    <w:rsid w:val="508839C8"/>
    <w:rsid w:val="50E13B71"/>
    <w:rsid w:val="51010F22"/>
    <w:rsid w:val="51104F77"/>
    <w:rsid w:val="519B3F7B"/>
    <w:rsid w:val="51A96058"/>
    <w:rsid w:val="51B313CC"/>
    <w:rsid w:val="51BB3C0C"/>
    <w:rsid w:val="51E66290"/>
    <w:rsid w:val="51EE69C4"/>
    <w:rsid w:val="52647CD1"/>
    <w:rsid w:val="526F3518"/>
    <w:rsid w:val="532A692B"/>
    <w:rsid w:val="533A041D"/>
    <w:rsid w:val="53F1227E"/>
    <w:rsid w:val="54011B13"/>
    <w:rsid w:val="5423436B"/>
    <w:rsid w:val="54300A57"/>
    <w:rsid w:val="549074EA"/>
    <w:rsid w:val="54F31C70"/>
    <w:rsid w:val="55427F71"/>
    <w:rsid w:val="557F73BB"/>
    <w:rsid w:val="55831B3D"/>
    <w:rsid w:val="55C256B9"/>
    <w:rsid w:val="55EC0C5F"/>
    <w:rsid w:val="55FD46C1"/>
    <w:rsid w:val="565F67C7"/>
    <w:rsid w:val="56A74288"/>
    <w:rsid w:val="56E055F3"/>
    <w:rsid w:val="5711697C"/>
    <w:rsid w:val="57B15E3E"/>
    <w:rsid w:val="582F3C6B"/>
    <w:rsid w:val="583C7C54"/>
    <w:rsid w:val="58405AF6"/>
    <w:rsid w:val="58454E73"/>
    <w:rsid w:val="58670BFF"/>
    <w:rsid w:val="588474F5"/>
    <w:rsid w:val="58F41895"/>
    <w:rsid w:val="59537CF9"/>
    <w:rsid w:val="59645864"/>
    <w:rsid w:val="596B1600"/>
    <w:rsid w:val="597F2EC3"/>
    <w:rsid w:val="59891419"/>
    <w:rsid w:val="59B43932"/>
    <w:rsid w:val="59E143BB"/>
    <w:rsid w:val="5A2550C5"/>
    <w:rsid w:val="5A2E718C"/>
    <w:rsid w:val="5A4254B1"/>
    <w:rsid w:val="5AB604F1"/>
    <w:rsid w:val="5ADA30D5"/>
    <w:rsid w:val="5B0046C9"/>
    <w:rsid w:val="5B33720F"/>
    <w:rsid w:val="5B355FC0"/>
    <w:rsid w:val="5BD20AD2"/>
    <w:rsid w:val="5C873088"/>
    <w:rsid w:val="5D9233EA"/>
    <w:rsid w:val="5DBF0E47"/>
    <w:rsid w:val="5DC45DBE"/>
    <w:rsid w:val="5DC5615F"/>
    <w:rsid w:val="5E320D32"/>
    <w:rsid w:val="5E3A23A6"/>
    <w:rsid w:val="5E40400B"/>
    <w:rsid w:val="5E426981"/>
    <w:rsid w:val="5E7F0481"/>
    <w:rsid w:val="5E8B2D52"/>
    <w:rsid w:val="5EA722F0"/>
    <w:rsid w:val="5F6D0C22"/>
    <w:rsid w:val="5FF330FC"/>
    <w:rsid w:val="601C418A"/>
    <w:rsid w:val="60312EBD"/>
    <w:rsid w:val="60496D39"/>
    <w:rsid w:val="6092785E"/>
    <w:rsid w:val="60A14E0E"/>
    <w:rsid w:val="60A625B5"/>
    <w:rsid w:val="60BB6BBF"/>
    <w:rsid w:val="61403A29"/>
    <w:rsid w:val="617B7F38"/>
    <w:rsid w:val="623E0A93"/>
    <w:rsid w:val="6240174B"/>
    <w:rsid w:val="62490A5A"/>
    <w:rsid w:val="626605A8"/>
    <w:rsid w:val="629457A8"/>
    <w:rsid w:val="62A43AF9"/>
    <w:rsid w:val="63354556"/>
    <w:rsid w:val="63710425"/>
    <w:rsid w:val="637512DF"/>
    <w:rsid w:val="637E23A2"/>
    <w:rsid w:val="638920E0"/>
    <w:rsid w:val="63A177C9"/>
    <w:rsid w:val="63C4679E"/>
    <w:rsid w:val="642379C5"/>
    <w:rsid w:val="642E15AE"/>
    <w:rsid w:val="64531F05"/>
    <w:rsid w:val="64D34B2D"/>
    <w:rsid w:val="651376B7"/>
    <w:rsid w:val="656649C4"/>
    <w:rsid w:val="65952ADA"/>
    <w:rsid w:val="65D67393"/>
    <w:rsid w:val="65D93B1D"/>
    <w:rsid w:val="663650FC"/>
    <w:rsid w:val="663C25E1"/>
    <w:rsid w:val="666F013A"/>
    <w:rsid w:val="66BC0E05"/>
    <w:rsid w:val="67230D95"/>
    <w:rsid w:val="672A3BCD"/>
    <w:rsid w:val="68216299"/>
    <w:rsid w:val="686660AE"/>
    <w:rsid w:val="688F2809"/>
    <w:rsid w:val="68AE41F3"/>
    <w:rsid w:val="692861FC"/>
    <w:rsid w:val="693037E7"/>
    <w:rsid w:val="695A5B5C"/>
    <w:rsid w:val="697E7193"/>
    <w:rsid w:val="697F74A7"/>
    <w:rsid w:val="698C0ED7"/>
    <w:rsid w:val="699B2B73"/>
    <w:rsid w:val="69A770EA"/>
    <w:rsid w:val="6A021E17"/>
    <w:rsid w:val="6A4F71C1"/>
    <w:rsid w:val="6A563F89"/>
    <w:rsid w:val="6A6C2EB7"/>
    <w:rsid w:val="6AA80864"/>
    <w:rsid w:val="6AA90889"/>
    <w:rsid w:val="6AB9328C"/>
    <w:rsid w:val="6AC104EC"/>
    <w:rsid w:val="6AED15E9"/>
    <w:rsid w:val="6AF0115C"/>
    <w:rsid w:val="6B156E29"/>
    <w:rsid w:val="6B1C170B"/>
    <w:rsid w:val="6B3B6FA0"/>
    <w:rsid w:val="6B3E5F28"/>
    <w:rsid w:val="6B5E436A"/>
    <w:rsid w:val="6B7D189E"/>
    <w:rsid w:val="6BB74F29"/>
    <w:rsid w:val="6BBD5648"/>
    <w:rsid w:val="6C2B6830"/>
    <w:rsid w:val="6C912E54"/>
    <w:rsid w:val="6CAB2DE1"/>
    <w:rsid w:val="6CFD60C6"/>
    <w:rsid w:val="6D0A3E25"/>
    <w:rsid w:val="6D0E73EA"/>
    <w:rsid w:val="6D2319DF"/>
    <w:rsid w:val="6D3B5643"/>
    <w:rsid w:val="6D6546FD"/>
    <w:rsid w:val="6D953261"/>
    <w:rsid w:val="6DA84EE1"/>
    <w:rsid w:val="6DFC50F8"/>
    <w:rsid w:val="6E1B5725"/>
    <w:rsid w:val="6E347142"/>
    <w:rsid w:val="6E7B1D76"/>
    <w:rsid w:val="6F011566"/>
    <w:rsid w:val="6F6E592F"/>
    <w:rsid w:val="6FCB6592"/>
    <w:rsid w:val="70A402CF"/>
    <w:rsid w:val="71490590"/>
    <w:rsid w:val="7165302F"/>
    <w:rsid w:val="717F0A9B"/>
    <w:rsid w:val="719666A3"/>
    <w:rsid w:val="723E5444"/>
    <w:rsid w:val="725416F6"/>
    <w:rsid w:val="72F56F08"/>
    <w:rsid w:val="72FD347C"/>
    <w:rsid w:val="73004BD7"/>
    <w:rsid w:val="731C5C06"/>
    <w:rsid w:val="73211019"/>
    <w:rsid w:val="73462E37"/>
    <w:rsid w:val="7365736C"/>
    <w:rsid w:val="73C96D17"/>
    <w:rsid w:val="73EE6EFF"/>
    <w:rsid w:val="73F27731"/>
    <w:rsid w:val="74687F9F"/>
    <w:rsid w:val="74842034"/>
    <w:rsid w:val="74C374EF"/>
    <w:rsid w:val="750760F8"/>
    <w:rsid w:val="75162487"/>
    <w:rsid w:val="756B3D78"/>
    <w:rsid w:val="75AB169B"/>
    <w:rsid w:val="760E5081"/>
    <w:rsid w:val="761210AA"/>
    <w:rsid w:val="767C5C18"/>
    <w:rsid w:val="769D0054"/>
    <w:rsid w:val="76C11445"/>
    <w:rsid w:val="774D5183"/>
    <w:rsid w:val="776B6348"/>
    <w:rsid w:val="77A05FF6"/>
    <w:rsid w:val="77DF3816"/>
    <w:rsid w:val="77EA63A3"/>
    <w:rsid w:val="7837427F"/>
    <w:rsid w:val="78503AFC"/>
    <w:rsid w:val="78797974"/>
    <w:rsid w:val="7945193E"/>
    <w:rsid w:val="796A357E"/>
    <w:rsid w:val="797B2BE8"/>
    <w:rsid w:val="799F5CAA"/>
    <w:rsid w:val="79C55BAD"/>
    <w:rsid w:val="79D67130"/>
    <w:rsid w:val="79D70E4C"/>
    <w:rsid w:val="79EB0AE8"/>
    <w:rsid w:val="7A44619D"/>
    <w:rsid w:val="7AC13FB3"/>
    <w:rsid w:val="7C2408DA"/>
    <w:rsid w:val="7C584AB6"/>
    <w:rsid w:val="7C8901FC"/>
    <w:rsid w:val="7CB81C44"/>
    <w:rsid w:val="7CE10A11"/>
    <w:rsid w:val="7CEC5144"/>
    <w:rsid w:val="7D262131"/>
    <w:rsid w:val="7D916B14"/>
    <w:rsid w:val="7DE24624"/>
    <w:rsid w:val="7DF1189C"/>
    <w:rsid w:val="7DFA3191"/>
    <w:rsid w:val="7E387F4E"/>
    <w:rsid w:val="7E3D449D"/>
    <w:rsid w:val="7E41747D"/>
    <w:rsid w:val="7E525F40"/>
    <w:rsid w:val="7EAE7C4B"/>
    <w:rsid w:val="7EB47782"/>
    <w:rsid w:val="7EDE44E4"/>
    <w:rsid w:val="7EE81588"/>
    <w:rsid w:val="7EFC0521"/>
    <w:rsid w:val="7F082B8F"/>
    <w:rsid w:val="7F0A2441"/>
    <w:rsid w:val="7F755508"/>
    <w:rsid w:val="7FAF78C9"/>
    <w:rsid w:val="7FBB2973"/>
    <w:rsid w:val="7FFF7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420" w:firstLineChars="200"/>
    </w:pPr>
    <w:rPr>
      <w:rFonts w:ascii="Calibri" w:hAnsi="Calibri" w:eastAsia="宋体" w:cs="Times New Roman"/>
    </w:rPr>
  </w:style>
  <w:style w:type="paragraph" w:customStyle="1"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13</Pages>
  <Words>803</Words>
  <Characters>4583</Characters>
  <Lines>38</Lines>
  <Paragraphs>10</Paragraphs>
  <TotalTime>0</TotalTime>
  <ScaleCrop>false</ScaleCrop>
  <LinksUpToDate>false</LinksUpToDate>
  <CharactersWithSpaces>5376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2018-08-21T13:39:00Z</dcterms:created>
  <dc:creator>先红</dc:creator>
  <cp:lastModifiedBy>Administrator</cp:lastModifiedBy>
  <cp:lastPrinted>2019-07-09T04:25:00Z</cp:lastPrinted>
  <dcterms:modified xsi:type="dcterms:W3CDTF">2022-12-05T11:10:08Z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