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住建局</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住建局</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住建局</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住建局</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住建局</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自治区和市住房和城乡建设、人民防空的有关法律法规和行业规划，制定全县住房和城乡建设、人民防空中长期发展规划，提出全县住房和城乡建设、人民防空领域的重大政策建议，强化政策法规、行业规划、标准规范的制定并监督实施。</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2.负责城镇中低收入家庭住房保障工作。贯彻落实自治区及林芝市住房保障相关政策。结合本县实际，制定全县住房保障发展规划，会同有关部门拟订城镇保障性住房年度计划并监督实施。</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3.负责推进住房制度改革。参照自治区及林芝市住房建设和改革制度，拟订住房政策，根据全区、市、县住房建设规划做好公有房屋管理工作。</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建立科学规范的工程建设标准体系。组织制定和实施工程建设地方标准，制定发布工程建设统一定额和行业标准。拟订建设项目可行性研究评价方法、经济参数、建设标准和工程造价的管理制度。拟订公共服务设施（不含通信设施）建设标准并监督执行。指导监督各类工程建设标准定额的实施和工程造价计价，组织发布工程造价信息。</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房地产市场监督管理工作。组织拟订本县房地产市场管理政策并监督执行，制定房地产业的行业发展规划和产业政策，制定房地产开发、房屋交易和租赁、房地产评估与经纪管理、物业服务管理等的规章制度并监督执行。参与指导国有土地上房屋征收补偿工作。</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6.负责建筑市场监督管理工作。指导全县建筑活动，</w:t>
      </w:r>
      <w:r>
        <w:rPr>
          <w:rFonts w:hint="eastAsia" w:ascii="仿宋_GB2312" w:hAnsi="宋体" w:eastAsia="仿宋_GB2312"/>
          <w:color w:val="000000"/>
          <w:sz w:val="32"/>
        </w:rPr>
        <w:t>协助有关部门提出和完善招标投标制度的意见和建议，协助指导监督有关设计、施工、监理的招标投标活动。</w:t>
      </w:r>
      <w:r>
        <w:rPr>
          <w:rFonts w:hint="eastAsia" w:ascii="仿宋_GB2312" w:hAnsi="仿宋_GB2312" w:eastAsia="仿宋_GB2312" w:cs="仿宋_GB2312"/>
          <w:sz w:val="32"/>
          <w:szCs w:val="32"/>
        </w:rPr>
        <w:t>拟订本县建筑业发展规划、改革方案、产业政策、规章制度并监督执行。负责竣工验收备案。负责建设工程消防、抗震、防雷设计审查等强制性标准实施管理工作。</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指导城市建设。负责组织开展城市（镇）总体设计、区域设计和专项设计以及建筑设计工作。指导全县市政工程项目的管理和实施，指导城市市政公用设施建设。指导城镇污水处理设施、垃圾处理设施及配套工程的建设管理。会同文物主管部门负责历史文化名城（镇、村）的保护和监督管理工作。开展藏式传统建筑研究、保护、开发和利用工作。</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指导村镇建设。拟订全县村镇建设发展规划、政策、技术标准并监督实施。拟订全县小城镇建设政策并指导实施。指导村镇规划编制、农牧区住房建设和安全及危房改造。指导村镇生态环境改善工作，建立健全乡村生活垃圾收运处置体系。加强乡村建筑风貌引导。指导全县重点镇的建设。</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建筑工程质量安全监督管理工作。负责行业质量管理工作。贯彻执行国家、自治区、林芝市及县关于建筑工程质量、建筑安全生产相关政策、规章制度。负责本行业领域安全生产监督管理和应急管理工作。指导全县住建领域防灾减灾的综合管理。组织或参与房屋建筑和市政工程重大质量、安全事故的调查处理。</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10.负责推进行业科技发展和建筑节能、减排工作。会同有关部门拟订行业科技发展规划和建筑节能的政策、规划并监督实施，组织实施重大建筑节能项目。</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拟订人民防空事业的发展战略、中长期发展规划和年度计划并组织实施。会同有关部门拟订县人民防空建设与城市建设相结合的规划，强化城市总体规划中贯彻落实人民防空要求及人民防空建设规划情况，依法对城市和重要经济目标的人民防空建设进行监督检查。负责管理人民防空经费和资产。</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人民防空组织指挥工作，对人民防空组织指挥体制提出建议。指导群众防空组织建设和训练工作，战时组织开展城市人民防空袭斗争。根据本级人民政府赋予的任务，组织开展城市抢险救灾和应急支援工作。负责人民防空通信警报建设。协助利用电信、军队通信网以及其他部门专用通信网保障人民防空通信警报工作。实施人民防空无线电管理。负责人民防空工程建设，对人民防空工程（含结合地面建筑修建战时可用于防空的地下室）建设实施计划、技术和质量进行管理，提升战时防空、平时服务能力。负责人民防空工程维护管理，加强平时开发利用人民防空工程监督管理。负责开展人民防空行政执法工作。开展人民防空宣传教育，普及人民防空知识和技能。</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行业人才工作。制定行业人才培养规划，指导行业人才队伍建设。负责行业职业技术教育培训工作。负责行业专业技术人员管理工作。拟订住房和城乡建设、人民防空干部教育培训规划并组织实施。加强行业区域合作与交流。</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14.完成县委、政府交办的其他任务。</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职能转变。县住建局要进一步强化行业规划、发展、管理职责，强化行业人居环境整治和生态保护职责，强化科技进步、绿色建筑和行业地方标准管理职责。深入推进简政放权，最大限度缩小审批和行政许可范围，加强事中事后监管。</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16.负责所属事业单位的财务管理工作。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rFonts w:ascii="仿宋_GB2312" w:eastAsia="仿宋_GB2312"/>
          <w:sz w:val="32"/>
          <w:szCs w:val="32"/>
        </w:rPr>
      </w:pPr>
      <w:r>
        <w:rPr>
          <w:rFonts w:hint="eastAsia" w:ascii="仿宋_GB2312" w:eastAsia="仿宋_GB2312"/>
          <w:sz w:val="32"/>
          <w:szCs w:val="32"/>
        </w:rPr>
        <w:t>察隅县住房和城乡建设局（人民防空办公室），正科级建制，为察隅县人民政府工作部门。</w:t>
      </w:r>
    </w:p>
    <w:p>
      <w:pPr>
        <w:rPr>
          <w:sz w:val="36"/>
          <w:szCs w:val="36"/>
        </w:rPr>
      </w:pP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住建局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住建局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12,940.51万元，比上年增长6.95%，主要原因为新增2021年守*固*工程抵*工程安置点中央基建投资项目和2021年察隅县公共租赁住房建设项目资金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9,861.62万元，主要包括财政拨款收入8,808.68万元，占总收入89.32%；其他收入1,052.95万元，占总收入10.68%。总收入比上年增加999.18万元，同比增长11.27%</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主要原因为新增2021年守边固边工程抵边工程安置点中央基建投资项目和2021年察隅县公共租赁住房建设项目</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12,940.51万元，主要包括基本支出1,780.14万元，占总支出13.76%；项目支出11,160.38万元，占总支出86.24%。总支出比上年增加6,545.82万元，同比增长102.36%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主要原因为新增2021年守*固*工程抵*工程安置点中央基建投资项目和2021年察隅县公共租赁住房建设项目资金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11,564.43万元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4,340.97万元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highlight w:val="none"/>
          <w:u w:val="none"/>
          <w:lang w:val="en-US" w:eastAsia="zh-CN"/>
        </w:rPr>
        <w:t>60.10%，</w:t>
      </w:r>
      <w:r>
        <w:rPr>
          <w:rFonts w:hint="eastAsia" w:ascii="仿宋_GB2312" w:eastAsia="仿宋_GB2312"/>
          <w:sz w:val="32"/>
          <w:szCs w:val="32"/>
          <w:highlight w:val="none"/>
          <w:lang w:val="en-US" w:eastAsia="zh-CN"/>
        </w:rPr>
        <w:t>主要原因为新增2021年守*固*工程抵*工程安置点中央基建投资项目和2021年察隅县公共租赁住房建设项目资金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11,564.43万元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7,424.21万元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highlight w:val="none"/>
          <w:u w:val="none"/>
          <w:lang w:val="en-US" w:eastAsia="zh-CN"/>
        </w:rPr>
        <w:t>179.32%</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主要原因为新增2021年守*固*工程抵*工程安置点中央基建投资项目和2021年察隅县公共租赁住房建设项目资金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11,564.43</w:t>
      </w:r>
      <w:r>
        <w:rPr>
          <w:rFonts w:hint="eastAsia" w:ascii="仿宋_GB2312" w:eastAsia="仿宋_GB2312"/>
          <w:sz w:val="32"/>
          <w:szCs w:val="32"/>
          <w:highlight w:val="none"/>
          <w:lang w:val="en-US" w:eastAsia="zh-CN"/>
        </w:rPr>
        <w:t>万元，比上年增加</w:t>
      </w:r>
      <w:r>
        <w:rPr>
          <w:rFonts w:hint="eastAsia" w:ascii="仿宋_GB2312" w:eastAsia="仿宋_GB2312"/>
          <w:sz w:val="32"/>
          <w:szCs w:val="32"/>
          <w:highlight w:val="none"/>
          <w:u w:val="none"/>
          <w:lang w:val="en-US" w:eastAsia="zh-CN"/>
        </w:rPr>
        <w:t>7,424.21</w:t>
      </w:r>
      <w:r>
        <w:rPr>
          <w:rFonts w:hint="eastAsia" w:ascii="仿宋_GB2312" w:eastAsia="仿宋_GB2312"/>
          <w:sz w:val="32"/>
          <w:szCs w:val="32"/>
          <w:highlight w:val="none"/>
          <w:lang w:val="en-US" w:eastAsia="zh-CN"/>
        </w:rPr>
        <w:t>万元，同比增长</w:t>
      </w:r>
      <w:r>
        <w:rPr>
          <w:rFonts w:hint="eastAsia" w:ascii="仿宋_GB2312" w:eastAsia="仿宋_GB2312"/>
          <w:sz w:val="32"/>
          <w:szCs w:val="32"/>
          <w:highlight w:val="none"/>
          <w:u w:val="none"/>
          <w:lang w:val="en-US" w:eastAsia="zh-CN"/>
        </w:rPr>
        <w:t>179.32</w:t>
      </w:r>
      <w:r>
        <w:rPr>
          <w:rFonts w:hint="eastAsia" w:ascii="仿宋_GB2312" w:eastAsia="仿宋_GB2312"/>
          <w:sz w:val="32"/>
          <w:szCs w:val="32"/>
          <w:highlight w:val="none"/>
          <w:lang w:val="en-US" w:eastAsia="zh-CN"/>
        </w:rPr>
        <w:t>%，比年初预算增加5,044.32万元,增长77.37%。</w:t>
      </w:r>
      <w:r>
        <w:rPr>
          <w:rFonts w:hint="eastAsia" w:ascii="仿宋_GB2312" w:eastAsia="仿宋_GB2312"/>
          <w:sz w:val="32"/>
          <w:szCs w:val="32"/>
          <w:highlight w:val="none"/>
          <w:lang w:val="en-US" w:eastAsia="zh-CN"/>
        </w:rPr>
        <w:t>主要原因为新增2021年守*固*工程抵*工程安置点中央基建投资项目和2021年察隅县公共租赁住房建设项目资金</w:t>
      </w:r>
      <w:r>
        <w:rPr>
          <w:rFonts w:hint="eastAsia" w:ascii="仿宋_GB2312" w:eastAsia="仿宋_GB2312"/>
          <w:sz w:val="32"/>
          <w:szCs w:val="32"/>
          <w:u w:val="none"/>
          <w:lang w:eastAsia="zh-CN"/>
        </w:rPr>
        <w:t>。</w:t>
      </w:r>
      <w:r>
        <w:rPr>
          <w:rFonts w:hint="eastAsia" w:ascii="仿宋_GB2312" w:eastAsia="仿宋_GB2312"/>
          <w:sz w:val="32"/>
          <w:szCs w:val="32"/>
          <w:highlight w:val="none"/>
          <w:lang w:val="en-US" w:eastAsia="zh-CN"/>
        </w:rPr>
        <w:t>其中：基本支出1,780.14万元，占总支出15.39%；项目支出9,784.29万元，占总支出84.61%。</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1,780.14万</w:t>
      </w:r>
      <w:r>
        <w:rPr>
          <w:rFonts w:hint="eastAsia" w:ascii="仿宋_GB2312" w:eastAsia="仿宋_GB2312"/>
          <w:sz w:val="32"/>
          <w:szCs w:val="32"/>
        </w:rPr>
        <w:t>元，</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227.74万元，同比降低11.34%</w:t>
      </w:r>
      <w:r>
        <w:rPr>
          <w:rFonts w:hint="eastAsia" w:ascii="仿宋_GB2312" w:eastAsia="仿宋_GB2312"/>
          <w:sz w:val="32"/>
          <w:szCs w:val="32"/>
        </w:rPr>
        <w:t>。</w:t>
      </w:r>
      <w:r>
        <w:rPr>
          <w:rFonts w:hint="eastAsia" w:ascii="仿宋_GB2312" w:eastAsia="仿宋_GB2312"/>
          <w:sz w:val="32"/>
          <w:szCs w:val="32"/>
          <w:highlight w:val="none"/>
          <w:lang w:eastAsia="zh-CN"/>
        </w:rPr>
        <w:t>主要原因为</w:t>
      </w:r>
      <w:r>
        <w:rPr>
          <w:rFonts w:hint="eastAsia" w:ascii="仿宋_GB2312" w:eastAsia="仿宋_GB2312"/>
          <w:sz w:val="32"/>
          <w:szCs w:val="32"/>
          <w:highlight w:val="none"/>
          <w:lang w:val="en-US" w:eastAsia="zh-CN"/>
        </w:rPr>
        <w:t>2021年工资福利支出中社会保险缴费预算较2020年减少</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比年初预算增加1,366.60万元,增长330.46%，主要原因为2021年有事业单位1-12月公积金公补资金。</w:t>
      </w:r>
      <w:r>
        <w:rPr>
          <w:rFonts w:hint="eastAsia" w:ascii="仿宋_GB2312" w:eastAsia="仿宋_GB2312"/>
          <w:sz w:val="32"/>
          <w:szCs w:val="32"/>
          <w:highlight w:val="none"/>
        </w:rPr>
        <w:t>其中：</w:t>
      </w:r>
      <w:r>
        <w:rPr>
          <w:rFonts w:hint="eastAsia" w:ascii="仿宋_GB2312" w:eastAsia="仿宋_GB2312"/>
          <w:b/>
          <w:sz w:val="32"/>
          <w:szCs w:val="32"/>
          <w:highlight w:val="none"/>
        </w:rPr>
        <w:t>人员经费</w:t>
      </w:r>
      <w:r>
        <w:rPr>
          <w:rFonts w:hint="eastAsia" w:ascii="仿宋_GB2312" w:eastAsia="仿宋_GB2312"/>
          <w:b/>
          <w:bCs/>
          <w:sz w:val="32"/>
          <w:szCs w:val="32"/>
          <w:highlight w:val="none"/>
        </w:rPr>
        <w:t>支出</w:t>
      </w:r>
      <w:r>
        <w:rPr>
          <w:rFonts w:hint="eastAsia" w:ascii="仿宋_GB2312" w:eastAsia="仿宋_GB2312"/>
          <w:sz w:val="32"/>
          <w:szCs w:val="32"/>
          <w:highlight w:val="none"/>
          <w:lang w:eastAsia="zh-CN"/>
        </w:rPr>
        <w:t>合计</w:t>
      </w:r>
      <w:r>
        <w:rPr>
          <w:rFonts w:hint="eastAsia" w:ascii="仿宋_GB2312" w:eastAsia="仿宋_GB2312"/>
          <w:sz w:val="32"/>
          <w:szCs w:val="32"/>
          <w:highlight w:val="none"/>
          <w:lang w:val="en-US" w:eastAsia="zh-CN"/>
        </w:rPr>
        <w:t>1,744.77万元</w:t>
      </w:r>
      <w:r>
        <w:rPr>
          <w:rFonts w:hint="eastAsia" w:ascii="仿宋_GB2312" w:eastAsia="仿宋_GB2312"/>
          <w:sz w:val="32"/>
          <w:szCs w:val="32"/>
          <w:highlight w:val="none"/>
        </w:rPr>
        <w:t>，占总支出的</w:t>
      </w:r>
      <w:r>
        <w:rPr>
          <w:rFonts w:hint="eastAsia" w:ascii="仿宋_GB2312" w:eastAsia="仿宋_GB2312"/>
          <w:sz w:val="32"/>
          <w:szCs w:val="32"/>
          <w:highlight w:val="none"/>
          <w:lang w:val="en-US" w:eastAsia="zh-CN"/>
        </w:rPr>
        <w:t>98.01</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35.36万</w:t>
      </w:r>
      <w:r>
        <w:rPr>
          <w:rFonts w:hint="eastAsia" w:ascii="仿宋_GB2312" w:eastAsia="仿宋_GB2312"/>
          <w:sz w:val="32"/>
          <w:szCs w:val="32"/>
        </w:rPr>
        <w:t>元，占总支出</w:t>
      </w:r>
      <w:r>
        <w:rPr>
          <w:rFonts w:hint="eastAsia" w:ascii="仿宋_GB2312" w:eastAsia="仿宋_GB2312"/>
          <w:sz w:val="32"/>
          <w:szCs w:val="32"/>
          <w:lang w:val="en-US" w:eastAsia="zh-CN"/>
        </w:rPr>
        <w:t>1.99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商品服务支出和资本性支出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8.91</w:t>
      </w:r>
      <w:r>
        <w:rPr>
          <w:rFonts w:hint="eastAsia" w:ascii="仿宋_GB2312" w:hAnsi="仿宋_GB2312" w:eastAsia="仿宋_GB2312" w:cs="仿宋_GB2312"/>
          <w:snapToGrid w:val="0"/>
          <w:w w:val="95"/>
          <w:sz w:val="32"/>
          <w:szCs w:val="32"/>
          <w:lang w:val="en-US" w:eastAsia="zh-CN"/>
        </w:rPr>
        <w:t>万元，比上年增加3.55万元，同比增长66.23%</w:t>
      </w:r>
      <w:r>
        <w:rPr>
          <w:rFonts w:hint="eastAsia" w:ascii="仿宋_GB2312" w:hAnsi="仿宋_GB2312" w:eastAsia="仿宋_GB2312" w:cs="仿宋_GB2312"/>
          <w:sz w:val="32"/>
          <w:szCs w:val="32"/>
          <w:highlight w:val="none"/>
          <w:lang w:val="en-US" w:eastAsia="zh-CN"/>
        </w:rPr>
        <w:t>。比预算数增加1.12万元，增长14.38%。其中：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。2021年度支出8.91万元，其中：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1.公务用车购置费。公务用车购置数为0，保有量为6辆，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2.公务用车运行费。2021年度支出8.91万元，比</w:t>
      </w:r>
      <w:r>
        <w:rPr>
          <w:rFonts w:hint="eastAsia" w:ascii="仿宋_GB2312" w:hAnsi="仿宋_GB2312" w:eastAsia="仿宋_GB2312" w:cs="仿宋_GB2312"/>
          <w:sz w:val="32"/>
          <w:szCs w:val="32"/>
          <w:highlight w:val="none"/>
          <w:lang w:val="en-US" w:eastAsia="zh-CN"/>
        </w:rPr>
        <w:t>上年增长3.55万元，同比增长66.23%，比预算数增加4.35万元，增长95%。主要原因为单位公下乡次数较多，导致油料费、洗车费增多</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2021年度支出0万元，公务接待0批次，0人次，比年初预算数减少3.23万元，降低100%。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2021年度政府性基金预算财政拨款收入155.86万元，用于支付地方政府专项债券及抗疫特别国债方面的支出，比上年减少1,801.71</w:t>
      </w:r>
      <w:r>
        <w:rPr>
          <w:rFonts w:hint="eastAsia" w:ascii="仿宋_GB2312" w:hAnsi="仿宋_GB2312" w:eastAsia="仿宋_GB2312" w:cs="仿宋_GB2312"/>
          <w:b w:val="0"/>
          <w:bCs w:val="0"/>
          <w:sz w:val="32"/>
          <w:szCs w:val="32"/>
          <w:highlight w:val="none"/>
          <w:lang w:val="en-US" w:eastAsia="zh-CN"/>
        </w:rPr>
        <w:t>万元，同比减少92.04%,</w:t>
      </w:r>
      <w:r>
        <w:rPr>
          <w:rFonts w:hint="eastAsia" w:ascii="仿宋_GB2312" w:hAnsi="仿宋_GB2312" w:eastAsia="仿宋_GB2312" w:cs="仿宋_GB2312"/>
          <w:b w:val="0"/>
          <w:bCs w:val="0"/>
          <w:sz w:val="32"/>
          <w:szCs w:val="32"/>
          <w:lang w:val="en-US" w:eastAsia="zh-CN"/>
        </w:rPr>
        <w:t>主要原因是2021年度政府性基金预算财政拨款收入为2020年抗疫国债的结余，2021年无新的</w:t>
      </w:r>
      <w:r>
        <w:rPr>
          <w:rFonts w:hint="eastAsia" w:ascii="仿宋_GB2312" w:hAnsi="仿宋_GB2312" w:eastAsia="仿宋_GB2312" w:cs="仿宋_GB2312"/>
          <w:b w:val="0"/>
          <w:bCs w:val="0"/>
          <w:sz w:val="32"/>
          <w:szCs w:val="32"/>
          <w:highlight w:val="none"/>
          <w:lang w:val="en-US" w:eastAsia="zh-CN"/>
        </w:rPr>
        <w:t>政府性基金预算财政拨款收入。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36.36万元，比上年减少4.62万元，同比降低11.56</w:t>
      </w:r>
      <w:r>
        <w:rPr>
          <w:rFonts w:hint="eastAsia" w:ascii="仿宋_GB2312" w:eastAsia="仿宋_GB2312"/>
          <w:sz w:val="32"/>
          <w:szCs w:val="32"/>
        </w:rPr>
        <w:t>%。</w:t>
      </w:r>
      <w:r>
        <w:rPr>
          <w:rFonts w:hint="eastAsia" w:ascii="仿宋_GB2312" w:eastAsia="仿宋_GB2312"/>
          <w:sz w:val="32"/>
          <w:szCs w:val="32"/>
          <w:lang w:eastAsia="zh-CN"/>
        </w:rPr>
        <w:t>主要原因为外出前往招标工作，前置手续办理次数减少。</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根据预算绩效管理要求，察隅县住建局</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住建局</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5097677"/>
    <w:rsid w:val="05442B77"/>
    <w:rsid w:val="060825F0"/>
    <w:rsid w:val="063E3381"/>
    <w:rsid w:val="0643722A"/>
    <w:rsid w:val="065E21CA"/>
    <w:rsid w:val="06AD3797"/>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D7782C"/>
    <w:rsid w:val="13E9383C"/>
    <w:rsid w:val="144D208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C0ABD"/>
    <w:rsid w:val="18EB15EF"/>
    <w:rsid w:val="19234752"/>
    <w:rsid w:val="192B0B9A"/>
    <w:rsid w:val="192E320B"/>
    <w:rsid w:val="197856BC"/>
    <w:rsid w:val="19825CAA"/>
    <w:rsid w:val="19AA096B"/>
    <w:rsid w:val="19BE1A2C"/>
    <w:rsid w:val="19DC3CF4"/>
    <w:rsid w:val="1A6105B6"/>
    <w:rsid w:val="1A707545"/>
    <w:rsid w:val="1A7B0FF9"/>
    <w:rsid w:val="1ACE64AB"/>
    <w:rsid w:val="1AEC2C50"/>
    <w:rsid w:val="1B057A41"/>
    <w:rsid w:val="1B2F0D15"/>
    <w:rsid w:val="1B367D8E"/>
    <w:rsid w:val="1B7109B6"/>
    <w:rsid w:val="1C0D3A85"/>
    <w:rsid w:val="1C93612C"/>
    <w:rsid w:val="1CAE2196"/>
    <w:rsid w:val="1D236B86"/>
    <w:rsid w:val="1D323688"/>
    <w:rsid w:val="1D594083"/>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CA0FE2"/>
    <w:rsid w:val="28D36E04"/>
    <w:rsid w:val="291558A3"/>
    <w:rsid w:val="293518AE"/>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D01320C"/>
    <w:rsid w:val="2D21246F"/>
    <w:rsid w:val="2D3A646F"/>
    <w:rsid w:val="2D5B7474"/>
    <w:rsid w:val="2D6F1CC2"/>
    <w:rsid w:val="2D7B6A45"/>
    <w:rsid w:val="2DA83E89"/>
    <w:rsid w:val="2DF41F4C"/>
    <w:rsid w:val="2E177979"/>
    <w:rsid w:val="2E331C8F"/>
    <w:rsid w:val="2E3C12F8"/>
    <w:rsid w:val="2E4A7695"/>
    <w:rsid w:val="2E61515A"/>
    <w:rsid w:val="2E6F28BA"/>
    <w:rsid w:val="2E7D68FA"/>
    <w:rsid w:val="2EA617B0"/>
    <w:rsid w:val="2EE26B9D"/>
    <w:rsid w:val="2EEF239B"/>
    <w:rsid w:val="2F0D0E51"/>
    <w:rsid w:val="2F131B64"/>
    <w:rsid w:val="2F1A79B2"/>
    <w:rsid w:val="2F9031C9"/>
    <w:rsid w:val="2FCC70D8"/>
    <w:rsid w:val="2FDF60C1"/>
    <w:rsid w:val="307F76B3"/>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752FF"/>
    <w:rsid w:val="44C96627"/>
    <w:rsid w:val="44CB088F"/>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D0A2F"/>
    <w:rsid w:val="47A82FFD"/>
    <w:rsid w:val="47B701F5"/>
    <w:rsid w:val="47EB56E1"/>
    <w:rsid w:val="4849005D"/>
    <w:rsid w:val="48545ACA"/>
    <w:rsid w:val="48654977"/>
    <w:rsid w:val="4887796F"/>
    <w:rsid w:val="488C6E75"/>
    <w:rsid w:val="48C321F4"/>
    <w:rsid w:val="48D151DA"/>
    <w:rsid w:val="48DE5B50"/>
    <w:rsid w:val="48FF0DFE"/>
    <w:rsid w:val="49AD72D9"/>
    <w:rsid w:val="49BF2265"/>
    <w:rsid w:val="49CA4591"/>
    <w:rsid w:val="4A5B6BC6"/>
    <w:rsid w:val="4A7D48B5"/>
    <w:rsid w:val="4AE2074A"/>
    <w:rsid w:val="4AE35FAB"/>
    <w:rsid w:val="4B044DB0"/>
    <w:rsid w:val="4BE764C4"/>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75485B"/>
    <w:rsid w:val="508839C8"/>
    <w:rsid w:val="50E13B71"/>
    <w:rsid w:val="51010F22"/>
    <w:rsid w:val="51104F77"/>
    <w:rsid w:val="519B3F7B"/>
    <w:rsid w:val="51A96058"/>
    <w:rsid w:val="51B313CC"/>
    <w:rsid w:val="51BB3C0C"/>
    <w:rsid w:val="51E66290"/>
    <w:rsid w:val="520A40DC"/>
    <w:rsid w:val="52647CD1"/>
    <w:rsid w:val="526F3518"/>
    <w:rsid w:val="529949C2"/>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8A6802"/>
    <w:rsid w:val="57B15E3E"/>
    <w:rsid w:val="57E13B26"/>
    <w:rsid w:val="582F3C6B"/>
    <w:rsid w:val="583C7C54"/>
    <w:rsid w:val="58405AF6"/>
    <w:rsid w:val="58454E73"/>
    <w:rsid w:val="58670BFF"/>
    <w:rsid w:val="588474F5"/>
    <w:rsid w:val="58F41895"/>
    <w:rsid w:val="59537CF9"/>
    <w:rsid w:val="59645864"/>
    <w:rsid w:val="596B1600"/>
    <w:rsid w:val="597F2EC3"/>
    <w:rsid w:val="59891419"/>
    <w:rsid w:val="598E717F"/>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BB6BBF"/>
    <w:rsid w:val="60E95975"/>
    <w:rsid w:val="61403A29"/>
    <w:rsid w:val="61C50904"/>
    <w:rsid w:val="623E0A93"/>
    <w:rsid w:val="6240174B"/>
    <w:rsid w:val="62490A5A"/>
    <w:rsid w:val="626605A8"/>
    <w:rsid w:val="629457A8"/>
    <w:rsid w:val="62990D92"/>
    <w:rsid w:val="62A43AF9"/>
    <w:rsid w:val="62CE4327"/>
    <w:rsid w:val="63354556"/>
    <w:rsid w:val="63710425"/>
    <w:rsid w:val="637512DF"/>
    <w:rsid w:val="637E23A2"/>
    <w:rsid w:val="638920E0"/>
    <w:rsid w:val="63A177C9"/>
    <w:rsid w:val="63C4679E"/>
    <w:rsid w:val="63EE36AC"/>
    <w:rsid w:val="642379C5"/>
    <w:rsid w:val="642E15AE"/>
    <w:rsid w:val="64531F05"/>
    <w:rsid w:val="64AB551C"/>
    <w:rsid w:val="64D34B2D"/>
    <w:rsid w:val="651376B7"/>
    <w:rsid w:val="65392A07"/>
    <w:rsid w:val="656649C4"/>
    <w:rsid w:val="65D67393"/>
    <w:rsid w:val="65D93B1D"/>
    <w:rsid w:val="663650FC"/>
    <w:rsid w:val="663C25E1"/>
    <w:rsid w:val="666F013A"/>
    <w:rsid w:val="66BC0E05"/>
    <w:rsid w:val="67230D95"/>
    <w:rsid w:val="672A3BCD"/>
    <w:rsid w:val="68066CE7"/>
    <w:rsid w:val="68216299"/>
    <w:rsid w:val="686660AE"/>
    <w:rsid w:val="688F2809"/>
    <w:rsid w:val="68AE41F3"/>
    <w:rsid w:val="68F266DC"/>
    <w:rsid w:val="692861FC"/>
    <w:rsid w:val="693037E7"/>
    <w:rsid w:val="695A5B5C"/>
    <w:rsid w:val="697F74A7"/>
    <w:rsid w:val="698C0ED7"/>
    <w:rsid w:val="699B2B73"/>
    <w:rsid w:val="69A770EA"/>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F011566"/>
    <w:rsid w:val="6F6E592F"/>
    <w:rsid w:val="6FCB6592"/>
    <w:rsid w:val="70A402CF"/>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61210AA"/>
    <w:rsid w:val="761A1D74"/>
    <w:rsid w:val="767C5C18"/>
    <w:rsid w:val="769D0054"/>
    <w:rsid w:val="76C11445"/>
    <w:rsid w:val="774D5183"/>
    <w:rsid w:val="776B6348"/>
    <w:rsid w:val="77A05FF6"/>
    <w:rsid w:val="77DF3816"/>
    <w:rsid w:val="77EA63A3"/>
    <w:rsid w:val="78503AFC"/>
    <w:rsid w:val="78797974"/>
    <w:rsid w:val="7945193E"/>
    <w:rsid w:val="797B2BE8"/>
    <w:rsid w:val="799F5CAA"/>
    <w:rsid w:val="79C16D88"/>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2022-12-05T11:09:22Z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