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仿宋_GB2312" w:eastAsia="黑体" w:cs="仿宋_GB2312"/>
          <w:sz w:val="72"/>
          <w:szCs w:val="72"/>
        </w:rPr>
      </w:pPr>
    </w:p>
    <w:p>
      <w:pPr>
        <w:rPr>
          <w:rFonts w:ascii="黑体" w:hAnsi="仿宋_GB2312" w:eastAsia="黑体" w:cs="仿宋_GB2312"/>
          <w:sz w:val="52"/>
          <w:szCs w:val="52"/>
        </w:rPr>
      </w:pP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察隅县政法委</w:t>
      </w:r>
    </w:p>
    <w:p>
      <w:pPr>
        <w:jc w:val="center"/>
        <w:rPr>
          <w:rFonts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2021年度部门决算公开</w:t>
      </w: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jc w:val="cente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rPr>
          <w:rFonts w:ascii="黑体" w:hAnsi="仿宋_GB2312" w:eastAsia="黑体" w:cs="仿宋_GB2312"/>
          <w:sz w:val="44"/>
          <w:szCs w:val="44"/>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日</w:t>
      </w:r>
    </w:p>
    <w:p>
      <w:pPr>
        <w:rPr>
          <w:rFonts w:ascii="方正小标宋简体" w:hAnsi="方正小标宋简体" w:eastAsia="方正小标宋简体" w:cs="方正小标宋简体"/>
          <w:sz w:val="44"/>
          <w:szCs w:val="44"/>
        </w:rPr>
      </w:pPr>
    </w:p>
    <w:p>
      <w:pPr>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jc w:val="center"/>
        <w:rPr>
          <w:rFonts w:ascii="黑体" w:hAnsi="仿宋_GB2312" w:eastAsia="黑体" w:cs="仿宋_GB2312"/>
          <w:sz w:val="36"/>
          <w:szCs w:val="36"/>
        </w:rPr>
      </w:pP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第一部分 察隅县政法委概况</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一、部门职责</w:t>
      </w:r>
    </w:p>
    <w:p>
      <w:pPr>
        <w:spacing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二、机构设置</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 xml:space="preserve">第二部分 察隅县政法委2021年度部门决算明细表 </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二、收入决算总表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三、支出决算总表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五、一般公共预算财政拨款支出决算表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六、一般公共预算财政拨款基本支出决算表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七、一般公共预算财政拨款“三公”经费支出决算表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八、政府性基金预算财政拨款收入支出决算表</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九、国有资本经营预算财政拨款支出决算表</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第三部分 察隅县政法委2021年度部门决算数据说明</w:t>
      </w:r>
    </w:p>
    <w:p>
      <w:pPr>
        <w:spacing w:line="560" w:lineRule="exact"/>
        <w:jc w:val="left"/>
        <w:rPr>
          <w:rFonts w:ascii="仿宋_GB2312" w:eastAsia="仿宋_GB2312"/>
          <w:sz w:val="32"/>
          <w:szCs w:val="32"/>
        </w:rPr>
      </w:pPr>
      <w:r>
        <w:rPr>
          <w:rFonts w:hint="eastAsia" w:ascii="仿宋_GB2312" w:eastAsia="仿宋_GB2312"/>
          <w:sz w:val="32"/>
          <w:szCs w:val="32"/>
        </w:rPr>
        <w:t>一、收入支出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二、收入</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三、支出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四、财政拨款收入支出</w:t>
      </w:r>
      <w:r>
        <w:rPr>
          <w:rFonts w:hint="eastAsia" w:ascii="仿宋_GB2312" w:hAnsi="仿宋_GB2312" w:eastAsia="仿宋_GB2312" w:cs="仿宋_GB2312"/>
          <w:sz w:val="32"/>
          <w:szCs w:val="32"/>
        </w:rPr>
        <w:t>决算</w:t>
      </w:r>
      <w:r>
        <w:rPr>
          <w:rFonts w:hint="eastAsia" w:ascii="仿宋_GB2312" w:eastAsia="仿宋_GB2312"/>
          <w:sz w:val="32"/>
          <w:szCs w:val="32"/>
        </w:rPr>
        <w:t>总体情况说明</w:t>
      </w:r>
    </w:p>
    <w:p>
      <w:pPr>
        <w:spacing w:line="560" w:lineRule="exact"/>
        <w:jc w:val="left"/>
        <w:rPr>
          <w:rFonts w:ascii="仿宋_GB2312" w:eastAsia="仿宋_GB2312"/>
          <w:sz w:val="32"/>
          <w:szCs w:val="32"/>
        </w:rPr>
      </w:pPr>
      <w:r>
        <w:rPr>
          <w:rFonts w:hint="eastAsia" w:ascii="仿宋_GB2312" w:eastAsia="仿宋_GB2312"/>
          <w:sz w:val="32"/>
          <w:szCs w:val="32"/>
        </w:rPr>
        <w:t>五、一般公共预算财政拨款支出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六、一般公共预算财政拨款基本支出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spacing w:line="560" w:lineRule="exact"/>
        <w:jc w:val="left"/>
        <w:rPr>
          <w:rFonts w:ascii="仿宋_GB2312" w:eastAsia="仿宋_GB2312"/>
          <w:sz w:val="32"/>
          <w:szCs w:val="32"/>
        </w:rPr>
      </w:pPr>
      <w:r>
        <w:rPr>
          <w:rFonts w:hint="eastAsia" w:ascii="仿宋_GB2312" w:eastAsia="仿宋_GB2312"/>
          <w:sz w:val="32"/>
          <w:szCs w:val="32"/>
        </w:rPr>
        <w:t>七、一般公共预算财政拨款“三公”经费支出</w:t>
      </w:r>
      <w:r>
        <w:rPr>
          <w:rFonts w:hint="eastAsia" w:ascii="仿宋_GB2312" w:hAnsi="仿宋_GB2312" w:eastAsia="仿宋_GB2312" w:cs="仿宋_GB2312"/>
          <w:sz w:val="32"/>
          <w:szCs w:val="32"/>
        </w:rPr>
        <w:t>决算</w:t>
      </w:r>
      <w:r>
        <w:rPr>
          <w:rFonts w:hint="eastAsia" w:ascii="仿宋_GB2312" w:eastAsia="仿宋_GB2312"/>
          <w:sz w:val="32"/>
          <w:szCs w:val="32"/>
        </w:rPr>
        <w:t>情况说明</w:t>
      </w:r>
    </w:p>
    <w:p>
      <w:pPr>
        <w:pStyle w:val="8"/>
        <w:spacing w:line="560" w:lineRule="exact"/>
        <w:ind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八、政府性基金预算财政拨款收入支出决算情况说明</w:t>
      </w:r>
    </w:p>
    <w:p>
      <w:pPr>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九、国有资本经营预算财政拨款支出决算情况说明</w:t>
      </w:r>
    </w:p>
    <w:p>
      <w:pPr>
        <w:spacing w:line="560" w:lineRule="exact"/>
        <w:jc w:val="left"/>
        <w:rPr>
          <w:rFonts w:ascii="仿宋_GB2312" w:eastAsia="仿宋_GB2312"/>
          <w:sz w:val="32"/>
          <w:szCs w:val="32"/>
        </w:rPr>
      </w:pPr>
      <w:r>
        <w:rPr>
          <w:rFonts w:hint="eastAsia" w:ascii="仿宋_GB2312" w:eastAsia="仿宋_GB2312"/>
          <w:sz w:val="32"/>
          <w:szCs w:val="32"/>
        </w:rPr>
        <w:t>十、其他重要事项情况说明</w:t>
      </w:r>
    </w:p>
    <w:p>
      <w:pPr>
        <w:widowControl/>
        <w:adjustRightInd w:val="0"/>
        <w:snapToGrid w:val="0"/>
        <w:spacing w:line="560" w:lineRule="exact"/>
        <w:rPr>
          <w:rFonts w:ascii="黑体" w:hAnsi="黑体" w:eastAsia="黑体" w:cs="黑体"/>
          <w:bCs/>
          <w:snapToGrid w:val="0"/>
          <w:w w:val="95"/>
          <w:kern w:val="0"/>
          <w:sz w:val="32"/>
          <w:szCs w:val="32"/>
        </w:rPr>
      </w:pPr>
      <w:r>
        <w:rPr>
          <w:rFonts w:hint="eastAsia" w:ascii="黑体" w:hAnsi="黑体" w:eastAsia="黑体" w:cs="黑体"/>
          <w:bCs/>
          <w:snapToGrid w:val="0"/>
          <w:w w:val="95"/>
          <w:kern w:val="0"/>
          <w:sz w:val="32"/>
          <w:szCs w:val="32"/>
        </w:rPr>
        <w:t>第四部分  名词解释</w:t>
      </w:r>
    </w:p>
    <w:p>
      <w:pPr>
        <w:spacing w:line="560" w:lineRule="exact"/>
        <w:rPr>
          <w:rFonts w:ascii="仿宋_GB2312" w:hAnsi="黑体" w:eastAsia="仿宋_GB2312" w:cs="黑体"/>
          <w:bCs/>
          <w:snapToGrid w:val="0"/>
          <w:w w:val="95"/>
          <w:sz w:val="32"/>
          <w:szCs w:val="32"/>
        </w:rPr>
      </w:pPr>
      <w:r>
        <w:rPr>
          <w:rFonts w:hint="eastAsia" w:ascii="仿宋_GB2312" w:hAnsi="黑体" w:eastAsia="仿宋_GB2312" w:cs="黑体"/>
          <w:bCs/>
          <w:snapToGrid w:val="0"/>
          <w:w w:val="95"/>
          <w:sz w:val="32"/>
          <w:szCs w:val="32"/>
        </w:rPr>
        <w:t>附件：</w:t>
      </w:r>
    </w:p>
    <w:p>
      <w:pPr>
        <w:widowControl/>
        <w:numPr>
          <w:ilvl w:val="0"/>
          <w:numId w:val="1"/>
        </w:numPr>
        <w:adjustRightInd w:val="0"/>
        <w:snapToGrid w:val="0"/>
        <w:spacing w:line="560" w:lineRule="exact"/>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2021年度部门决算明细表（含九张表）</w:t>
      </w:r>
    </w:p>
    <w:p>
      <w:pPr>
        <w:keepNext w:val="0"/>
        <w:keepLines w:val="0"/>
        <w:pageBreakBefore w:val="0"/>
        <w:widowControl w:val="0"/>
        <w:numPr>
          <w:ilvl w:val="0"/>
          <w:numId w:val="0"/>
        </w:numPr>
        <w:kinsoku/>
        <w:wordWrap/>
        <w:overflowPunct/>
        <w:topLinePunct w:val="0"/>
        <w:autoSpaceDE/>
        <w:autoSpaceDN/>
        <w:bidi w:val="0"/>
        <w:spacing w:line="480" w:lineRule="exact"/>
        <w:jc w:val="both"/>
        <w:textAlignment w:val="auto"/>
        <w:rPr>
          <w:rFonts w:hint="eastAsia" w:ascii="方正小标宋简体" w:hAnsi="方正小标宋简体" w:eastAsia="方正小标宋简体" w:cs="方正小标宋简体"/>
          <w:bCs/>
          <w:sz w:val="44"/>
          <w:szCs w:val="44"/>
        </w:rPr>
      </w:pPr>
      <w:r>
        <w:rPr>
          <w:rFonts w:hint="eastAsia" w:ascii="仿宋_GB2312" w:hAnsi="仿宋_GB2312" w:eastAsia="仿宋_GB2312" w:cs="仿宋_GB2312"/>
          <w:snapToGrid w:val="0"/>
          <w:w w:val="95"/>
          <w:sz w:val="32"/>
          <w:szCs w:val="32"/>
          <w:highlight w:val="none"/>
          <w:lang w:val="en-US" w:eastAsia="zh-CN"/>
        </w:rPr>
        <w:t>2.2021年度部门整体支出绩效评价报告及绩效评价体系评分表</w:t>
      </w:r>
    </w:p>
    <w:p>
      <w:pPr>
        <w:spacing w:line="480" w:lineRule="exact"/>
        <w:jc w:val="center"/>
        <w:rPr>
          <w:rFonts w:ascii="方正小标宋简体" w:hAnsi="方正小标宋简体" w:eastAsia="方正小标宋简体" w:cs="方正小标宋简体"/>
          <w:bCs/>
          <w:sz w:val="44"/>
          <w:szCs w:val="44"/>
        </w:rPr>
      </w:pPr>
    </w:p>
    <w:p>
      <w:pPr>
        <w:spacing w:line="480" w:lineRule="exact"/>
        <w:jc w:val="center"/>
        <w:rPr>
          <w:rFonts w:ascii="方正小标宋简体" w:hAnsi="方正小标宋简体" w:eastAsia="方正小标宋简体" w:cs="方正小标宋简体"/>
          <w:bCs/>
          <w:sz w:val="44"/>
          <w:szCs w:val="44"/>
        </w:rPr>
      </w:pPr>
    </w:p>
    <w:p>
      <w:pPr>
        <w:spacing w:line="480" w:lineRule="exact"/>
        <w:jc w:val="left"/>
        <w:rPr>
          <w:rFonts w:ascii="方正小标宋简体" w:hAnsi="方正小标宋简体" w:eastAsia="方正小标宋简体" w:cs="方正小标宋简体"/>
          <w:bCs/>
          <w:sz w:val="44"/>
          <w:szCs w:val="44"/>
        </w:rPr>
        <w:sectPr>
          <w:pgSz w:w="11906" w:h="16838"/>
          <w:pgMar w:top="1440" w:right="1800" w:bottom="1440" w:left="1800" w:header="708" w:footer="708" w:gutter="0"/>
          <w:pgNumType w:fmt="numberInDash"/>
          <w:cols w:space="708" w:num="1"/>
          <w:docGrid w:linePitch="360" w:charSpace="0"/>
        </w:sectPr>
      </w:pPr>
    </w:p>
    <w:p>
      <w:pPr>
        <w:numPr>
          <w:ilvl w:val="0"/>
          <w:numId w:val="2"/>
        </w:num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察隅县政法委概况</w:t>
      </w:r>
    </w:p>
    <w:p>
      <w:pPr>
        <w:rPr>
          <w:rFonts w:ascii="黑体" w:hAnsi="仿宋_GB2312" w:eastAsia="黑体" w:cs="仿宋_GB2312"/>
          <w:bCs/>
          <w:sz w:val="32"/>
          <w:szCs w:val="32"/>
        </w:rPr>
      </w:pP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一、工作职责</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w:t>
      </w:r>
      <w:bookmarkStart w:id="0" w:name="_GoBack"/>
      <w:bookmarkEnd w:id="0"/>
      <w:r>
        <w:rPr>
          <w:rFonts w:hint="eastAsia" w:ascii="仿宋_GB2312" w:hAnsi="仿宋_GB2312" w:eastAsia="仿宋_GB2312" w:cs="仿宋_GB2312"/>
          <w:sz w:val="32"/>
          <w:szCs w:val="32"/>
        </w:rPr>
        <w:t>贯彻习近平新时代中国特色社会主义思想，深入贯彻党的路线方针政策和决策部署，统一政法各部门的思想和行动，坚持党对政法工作的绝对领导，坚决维护党中央权威和集中统一领导。</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深入贯彻党中央决定和自治区党委、市委、县委部署，对全县政法工作研究提出全局性部署，推进平安察隅、法治察隅建设，加强过硬政法队伍建设，深化智能化建设，坚决维护国家政治安全、确保全县社会大局稳定、促进社会公平正义、保障人民安居乐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（三）了解和分析研判全县政法工作动态，分析社会稳定形式，创新完善多部门参与的综治维稳工作机制，协调推动预防、化解影响稳定的社会矛盾和风险，协调应对和处置重大突发事件。</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（四）加强对全县各级政法工作的督查，统筹协调社会治安综合治理、维护社会稳定、反邪教有关法律法规政策的实施工作。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（五）组织开展全县政法领域的调查研究，研究拟定政法工作的各项措施，及时向县委提出建议。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（六）掌握分析全县舆情动态，指导协调县直政法各部门媒体网络宣传工作，指导全县各级政法部门做好涉及正政法工作的重大宣传工作。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（七）统筹协调推进全县政法信息化建设工作，研究分析政法信息基础设施共建共享、互联互通和开放兼容的政策意见，指导政法各部门信息化平台建设工作。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（八）监督和支持县政法各部门依法行使职权，指导和协调政法各部门密切配合，研究和协调重大、疑难案件，推进严格执法、公正司法。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（九）组织研究全县政法改革中带有方向性、倾斜性和普遍性的重大问题，深化政法改革。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（十）指导和推动全县政法系统党的建设和政法队伍建设，开展县法学会工作。</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（十一）完成市委政法委、县委交办的其他任务。</w:t>
      </w:r>
    </w:p>
    <w:p>
      <w:pPr>
        <w:spacing w:line="560" w:lineRule="exact"/>
        <w:rPr>
          <w:rFonts w:ascii="黑体" w:hAnsi="黑体" w:eastAsia="黑体" w:cs="黑体"/>
          <w:sz w:val="32"/>
          <w:szCs w:val="32"/>
        </w:rPr>
      </w:pPr>
      <w:r>
        <w:rPr>
          <w:rFonts w:hint="eastAsia" w:ascii="黑体" w:hAnsi="黑体" w:eastAsia="黑体" w:cs="黑体"/>
          <w:sz w:val="32"/>
          <w:szCs w:val="32"/>
        </w:rPr>
        <w:t xml:space="preserve">   二、预算部门单位构成</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政法委（察隅县委政法委员会领导小组办公室、平安察隅建设工作领导小组办公室、市域社会治理现代化试点工作领导小组办公室、察隅县政法队伍教育整顿领导小组办公室、察隅县扫黑除恶领导小组办公室、察隅县社会稳定风险评估工作领导小组办公室、察隅县群防群治工作领导小组办公室、察隅县双联户服务管理工作领导小组、察隅县反邪教工作领导小组办公室、察隅县涉法涉诉案件处理工作领导小组）</w:t>
      </w:r>
    </w:p>
    <w:p>
      <w:pPr>
        <w:rPr>
          <w:sz w:val="36"/>
          <w:szCs w:val="36"/>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第二部分 察隅县政法委2021年度部门决算明细表（详见附表）</w:t>
      </w:r>
    </w:p>
    <w:p>
      <w:pPr>
        <w:spacing w:line="560" w:lineRule="exact"/>
        <w:jc w:val="center"/>
        <w:rPr>
          <w:rFonts w:ascii="黑体" w:hAnsi="仿宋_GB2312" w:eastAsia="黑体" w:cs="仿宋_GB2312"/>
          <w:sz w:val="32"/>
          <w:szCs w:val="32"/>
        </w:rPr>
      </w:pPr>
    </w:p>
    <w:p>
      <w:pPr>
        <w:pStyle w:val="8"/>
        <w:spacing w:line="560" w:lineRule="exact"/>
        <w:ind w:left="2200" w:hanging="2200" w:hangingChars="50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第三部分 察隅县政法委2021年度部门决算情况说明</w:t>
      </w:r>
    </w:p>
    <w:p>
      <w:pPr>
        <w:ind w:firstLine="482" w:firstLineChars="150"/>
        <w:jc w:val="left"/>
        <w:rPr>
          <w:rFonts w:ascii="仿宋_GB2312" w:eastAsia="仿宋_GB2312"/>
          <w:b/>
          <w:sz w:val="32"/>
          <w:szCs w:val="32"/>
        </w:rPr>
      </w:pP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一、收入支出决算总体情况说明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sz w:val="32"/>
          <w:szCs w:val="32"/>
        </w:rPr>
        <w:t>2021年度收支决算总规模为330.12万元，相比上年降低28.6%，主要原因为</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与</w:t>
      </w:r>
      <w:r>
        <w:rPr>
          <w:rFonts w:hint="eastAsia" w:ascii="仿宋_GB2312" w:eastAsia="仿宋_GB2312"/>
          <w:sz w:val="32"/>
          <w:szCs w:val="32"/>
        </w:rPr>
        <w:t>基本支出</w:t>
      </w:r>
      <w:r>
        <w:rPr>
          <w:rFonts w:hint="eastAsia" w:ascii="仿宋_GB2312" w:eastAsia="仿宋_GB2312"/>
          <w:sz w:val="32"/>
          <w:szCs w:val="32"/>
          <w:lang w:eastAsia="zh-CN"/>
        </w:rPr>
        <w:t>收入</w:t>
      </w:r>
      <w:r>
        <w:rPr>
          <w:rFonts w:hint="eastAsia" w:ascii="仿宋_GB2312" w:eastAsia="仿宋_GB2312"/>
          <w:sz w:val="32"/>
          <w:szCs w:val="32"/>
        </w:rPr>
        <w:t>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二、收入决算情况说明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sz w:val="32"/>
          <w:szCs w:val="32"/>
        </w:rPr>
        <w:t>2021年度总收入决算为317.09万元，主要包括财政拨款收入317.09万元，占总收入100%；总收入比上年减少90.65万元，同比降低28.6%，主要原因为</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与</w:t>
      </w:r>
      <w:r>
        <w:rPr>
          <w:rFonts w:hint="eastAsia" w:ascii="仿宋_GB2312" w:eastAsia="仿宋_GB2312"/>
          <w:sz w:val="32"/>
          <w:szCs w:val="32"/>
        </w:rPr>
        <w:t>基本支出</w:t>
      </w:r>
      <w:r>
        <w:rPr>
          <w:rFonts w:hint="eastAsia" w:ascii="仿宋_GB2312" w:eastAsia="仿宋_GB2312"/>
          <w:sz w:val="32"/>
          <w:szCs w:val="32"/>
          <w:lang w:eastAsia="zh-CN"/>
        </w:rPr>
        <w:t>收入</w:t>
      </w:r>
      <w:r>
        <w:rPr>
          <w:rFonts w:hint="eastAsia" w:ascii="仿宋_GB2312" w:eastAsia="仿宋_GB2312"/>
          <w:sz w:val="32"/>
          <w:szCs w:val="32"/>
        </w:rPr>
        <w:t>减少。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三、支出决算情况说明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宋体" w:hAnsi="宋体" w:eastAsia="宋体" w:cs="Arial"/>
          <w:color w:val="000000"/>
          <w:kern w:val="0"/>
          <w:sz w:val="22"/>
          <w:highlight w:val="yellow"/>
          <w:lang w:val="en-US" w:eastAsia="zh-CN"/>
        </w:rPr>
      </w:pPr>
      <w:r>
        <w:rPr>
          <w:rFonts w:hint="eastAsia" w:ascii="仿宋_GB2312" w:eastAsia="仿宋_GB2312"/>
          <w:sz w:val="32"/>
          <w:szCs w:val="32"/>
        </w:rPr>
        <w:t>2021年度总支出决算为330.13万元，主要包括基本支出118.1万元，占总支出35.78%；项目支出212.03，占总支出64.22%。总支出比上年减少194.71万元，同比降低58.9%，主要原因为</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与</w:t>
      </w:r>
      <w:r>
        <w:rPr>
          <w:rFonts w:hint="eastAsia" w:ascii="仿宋_GB2312" w:eastAsia="仿宋_GB2312"/>
          <w:sz w:val="32"/>
          <w:szCs w:val="32"/>
        </w:rPr>
        <w:t>基本支出</w:t>
      </w:r>
      <w:r>
        <w:rPr>
          <w:rFonts w:hint="eastAsia" w:ascii="仿宋_GB2312" w:eastAsia="仿宋_GB2312"/>
          <w:sz w:val="32"/>
          <w:szCs w:val="32"/>
          <w:lang w:eastAsia="zh-CN"/>
        </w:rPr>
        <w:t>收入</w:t>
      </w:r>
      <w:r>
        <w:rPr>
          <w:rFonts w:hint="eastAsia" w:ascii="仿宋_GB2312" w:eastAsia="仿宋_GB2312"/>
          <w:sz w:val="32"/>
          <w:szCs w:val="32"/>
        </w:rPr>
        <w:t>减少。</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eastAsia="仿宋_GB2312"/>
          <w:b/>
          <w:sz w:val="32"/>
          <w:szCs w:val="32"/>
        </w:rPr>
      </w:pPr>
      <w:r>
        <w:rPr>
          <w:rFonts w:hint="eastAsia" w:ascii="仿宋_GB2312" w:eastAsia="仿宋_GB2312"/>
          <w:b/>
          <w:sz w:val="32"/>
          <w:szCs w:val="32"/>
        </w:rPr>
        <w:t>四、一般公共预算财政拨款收入支出决算总体情况说明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sz w:val="32"/>
          <w:szCs w:val="32"/>
        </w:rPr>
        <w:t>2021年度总收入决算为330.12万元，主要包括财政拨款收入330.12万元，占总收入100%；总收入比上年减少90.65万元，同比降低28.6%，主要原因为项目专项资金支出及基本支出资金减少。</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sz w:val="32"/>
          <w:szCs w:val="32"/>
        </w:rPr>
        <w:t>2021年度总支出决算为330.12万元，主要包括基本支出118.1万元，占总支出35.78%；项目支出212.03，占总支出64.22%。总支出比上年减少194.71万元，同比降低58.9%，主要原因为</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与</w:t>
      </w:r>
      <w:r>
        <w:rPr>
          <w:rFonts w:hint="eastAsia" w:ascii="仿宋_GB2312" w:eastAsia="仿宋_GB2312"/>
          <w:sz w:val="32"/>
          <w:szCs w:val="32"/>
        </w:rPr>
        <w:t>基本支出</w:t>
      </w:r>
      <w:r>
        <w:rPr>
          <w:rFonts w:hint="eastAsia" w:ascii="仿宋_GB2312" w:eastAsia="仿宋_GB2312"/>
          <w:sz w:val="32"/>
          <w:szCs w:val="32"/>
          <w:lang w:eastAsia="zh-CN"/>
        </w:rPr>
        <w:t>收入</w:t>
      </w:r>
      <w:r>
        <w:rPr>
          <w:rFonts w:hint="eastAsia" w:ascii="仿宋_GB2312" w:eastAsia="仿宋_GB2312"/>
          <w:sz w:val="32"/>
          <w:szCs w:val="32"/>
        </w:rPr>
        <w:t>减少。</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五、一般公共预算财政拨款支出决算情况说明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宋体" w:hAnsi="宋体" w:eastAsia="宋体" w:cs="Arial"/>
          <w:color w:val="000000"/>
          <w:kern w:val="0"/>
          <w:sz w:val="22"/>
          <w:highlight w:val="yellow"/>
        </w:rPr>
      </w:pPr>
      <w:r>
        <w:rPr>
          <w:rFonts w:hint="eastAsia" w:ascii="仿宋_GB2312" w:eastAsia="仿宋_GB2312"/>
          <w:kern w:val="0"/>
          <w:sz w:val="32"/>
          <w:szCs w:val="32"/>
        </w:rPr>
        <w:t>2021年度一般公共预算财政拨款支出</w:t>
      </w:r>
      <w:r>
        <w:rPr>
          <w:rFonts w:hint="eastAsia" w:ascii="仿宋_GB2312" w:eastAsia="仿宋_GB2312"/>
          <w:sz w:val="32"/>
          <w:szCs w:val="32"/>
        </w:rPr>
        <w:t>决算为330.12万元，比年初预算增加79.05万元,增长23.94%，主要原因为</w:t>
      </w:r>
      <w:r>
        <w:rPr>
          <w:rFonts w:hint="eastAsia" w:ascii="仿宋_GB2312" w:eastAsia="仿宋_GB2312"/>
          <w:sz w:val="32"/>
          <w:szCs w:val="32"/>
          <w:lang w:eastAsia="zh-CN"/>
        </w:rPr>
        <w:t>年中收到</w:t>
      </w:r>
      <w:r>
        <w:rPr>
          <w:rFonts w:hint="eastAsia" w:ascii="仿宋_GB2312" w:eastAsia="仿宋_GB2312"/>
          <w:sz w:val="32"/>
          <w:szCs w:val="32"/>
        </w:rPr>
        <w:t>用于专项业务方面</w:t>
      </w:r>
      <w:r>
        <w:rPr>
          <w:rFonts w:hint="eastAsia" w:ascii="仿宋_GB2312" w:eastAsia="仿宋_GB2312"/>
          <w:sz w:val="32"/>
          <w:szCs w:val="32"/>
          <w:lang w:eastAsia="zh-CN"/>
        </w:rPr>
        <w:t>的</w:t>
      </w:r>
      <w:r>
        <w:rPr>
          <w:rFonts w:hint="eastAsia" w:ascii="仿宋_GB2312" w:eastAsia="仿宋_GB2312"/>
          <w:sz w:val="32"/>
          <w:szCs w:val="32"/>
        </w:rPr>
        <w:t>转移支付资金较多。比上年决算减少194.71万元，同比降低58.9%，主要原因为</w:t>
      </w:r>
      <w:r>
        <w:rPr>
          <w:rFonts w:hint="eastAsia" w:ascii="仿宋_GB2312" w:eastAsia="仿宋_GB2312"/>
          <w:sz w:val="32"/>
          <w:szCs w:val="32"/>
          <w:lang w:eastAsia="zh-CN"/>
        </w:rPr>
        <w:t>项目</w:t>
      </w:r>
      <w:r>
        <w:rPr>
          <w:rFonts w:hint="eastAsia" w:ascii="仿宋_GB2312" w:eastAsia="仿宋_GB2312"/>
          <w:sz w:val="32"/>
          <w:szCs w:val="32"/>
        </w:rPr>
        <w:t>支出</w:t>
      </w:r>
      <w:r>
        <w:rPr>
          <w:rFonts w:hint="eastAsia" w:ascii="仿宋_GB2312" w:eastAsia="仿宋_GB2312"/>
          <w:sz w:val="32"/>
          <w:szCs w:val="32"/>
          <w:lang w:eastAsia="zh-CN"/>
        </w:rPr>
        <w:t>与</w:t>
      </w:r>
      <w:r>
        <w:rPr>
          <w:rFonts w:hint="eastAsia" w:ascii="仿宋_GB2312" w:eastAsia="仿宋_GB2312"/>
          <w:sz w:val="32"/>
          <w:szCs w:val="32"/>
        </w:rPr>
        <w:t>基本支出</w:t>
      </w:r>
      <w:r>
        <w:rPr>
          <w:rFonts w:hint="eastAsia" w:ascii="仿宋_GB2312" w:eastAsia="仿宋_GB2312"/>
          <w:sz w:val="32"/>
          <w:szCs w:val="32"/>
          <w:lang w:eastAsia="zh-CN"/>
        </w:rPr>
        <w:t>收入</w:t>
      </w:r>
      <w:r>
        <w:rPr>
          <w:rFonts w:hint="eastAsia" w:ascii="仿宋_GB2312" w:eastAsia="仿宋_GB2312"/>
          <w:sz w:val="32"/>
          <w:szCs w:val="32"/>
        </w:rPr>
        <w:t>减少。其中：基本支出118.1万元，占总支出35.77%；项目支出212.03万元，占总支出64.23%。</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六、一般公共预算财政拨款基本支出决算情况说明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2021年度一般公共预算财政拨款基本支出决算为118.1万元，比年初预算减少48.24万元,降低26.35%，主要原因为工资福利支出减少，其中：</w:t>
      </w:r>
      <w:r>
        <w:rPr>
          <w:rFonts w:hint="eastAsia" w:ascii="仿宋_GB2312" w:eastAsia="仿宋_GB2312"/>
          <w:b/>
          <w:sz w:val="32"/>
          <w:szCs w:val="32"/>
        </w:rPr>
        <w:t>人员经费</w:t>
      </w:r>
      <w:r>
        <w:rPr>
          <w:rFonts w:hint="eastAsia" w:ascii="仿宋_GB2312" w:eastAsia="仿宋_GB2312"/>
          <w:b/>
          <w:bCs/>
          <w:sz w:val="32"/>
          <w:szCs w:val="32"/>
        </w:rPr>
        <w:t>支出</w:t>
      </w:r>
      <w:r>
        <w:rPr>
          <w:rFonts w:hint="eastAsia" w:ascii="仿宋_GB2312" w:eastAsia="仿宋_GB2312"/>
          <w:sz w:val="32"/>
          <w:szCs w:val="32"/>
        </w:rPr>
        <w:t>合计100.46万元，占总支出的85.06%，主要包括工资福利支出支出和对个人和家庭的补助支出。</w:t>
      </w:r>
      <w:r>
        <w:rPr>
          <w:rFonts w:hint="eastAsia" w:ascii="仿宋_GB2312" w:eastAsia="仿宋_GB2312"/>
          <w:b/>
          <w:sz w:val="32"/>
          <w:szCs w:val="32"/>
        </w:rPr>
        <w:t>公用经费支出</w:t>
      </w:r>
      <w:r>
        <w:rPr>
          <w:rFonts w:hint="eastAsia" w:ascii="仿宋_GB2312" w:eastAsia="仿宋_GB2312"/>
          <w:sz w:val="32"/>
          <w:szCs w:val="32"/>
        </w:rPr>
        <w:t>合计17.64万元，占总支出14.94%，</w:t>
      </w:r>
      <w:r>
        <w:rPr>
          <w:rFonts w:hint="eastAsia" w:ascii="FangSong_GB2312" w:eastAsia="FangSong_GB2312"/>
          <w:sz w:val="32"/>
          <w:szCs w:val="32"/>
          <w:lang w:eastAsia="zh-CN"/>
        </w:rPr>
        <w:t>主要包括</w:t>
      </w:r>
      <w:r>
        <w:rPr>
          <w:rFonts w:hint="eastAsia" w:ascii="仿宋_GB2312" w:eastAsia="仿宋_GB2312"/>
          <w:sz w:val="32"/>
          <w:szCs w:val="32"/>
          <w:lang w:eastAsia="zh-CN"/>
        </w:rPr>
        <w:t>商品和服务支出</w:t>
      </w:r>
      <w:r>
        <w:rPr>
          <w:rFonts w:hint="eastAsia" w:ascii="仿宋_GB2312" w:eastAsia="仿宋_GB2312"/>
          <w:sz w:val="32"/>
          <w:szCs w:val="32"/>
        </w:rPr>
        <w:t>等</w:t>
      </w:r>
      <w:r>
        <w:rPr>
          <w:rFonts w:hint="eastAsia" w:ascii="仿宋_GB2312" w:eastAsia="仿宋_GB2312"/>
          <w:sz w:val="32"/>
          <w:szCs w:val="32"/>
          <w:lang w:eastAsia="zh-CN"/>
        </w:rPr>
        <w:t>。</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eastAsia="仿宋_GB2312"/>
          <w:b/>
          <w:sz w:val="32"/>
          <w:szCs w:val="32"/>
        </w:rPr>
      </w:pPr>
      <w:r>
        <w:rPr>
          <w:rFonts w:hint="eastAsia" w:ascii="仿宋_GB2312" w:eastAsia="仿宋_GB2312"/>
          <w:b/>
          <w:sz w:val="32"/>
          <w:szCs w:val="32"/>
        </w:rPr>
        <w:t>七、一般公共预算财政拨款“三公”经费支出决算情况说明</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2021年度一般公共预算财政拨款“三公”经费总支出3.33万元，比年初预算增加0.88万元，增长22.27%。比上年决算减少4.37万元，同比降低34.62%</w:t>
      </w:r>
      <w:r>
        <w:rPr>
          <w:rFonts w:hint="eastAsia" w:ascii="仿宋_GB2312" w:hAnsi="仿宋_GB2312" w:eastAsia="仿宋_GB2312" w:cs="仿宋_GB2312"/>
          <w:sz w:val="32"/>
          <w:szCs w:val="32"/>
        </w:rPr>
        <w:t>。其中：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（1）因公出国（境）费用。</w:t>
      </w:r>
      <w:r>
        <w:rPr>
          <w:rFonts w:hint="eastAsia" w:ascii="仿宋_GB2312" w:hAnsi="仿宋_GB2312" w:eastAsia="仿宋_GB2312" w:cs="仿宋_GB2312"/>
          <w:snapToGrid w:val="0"/>
          <w:w w:val="95"/>
          <w:sz w:val="32"/>
          <w:szCs w:val="32"/>
        </w:rPr>
        <w:t>因公出国（镜）0团组数0人数，与上年持平。为进一步规范因公出国（境）费用管理，我县因公出国（境）费用按照零基预算原则，因此因公出国（境）费用支出为0万元。</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（2）公务用车购置及运行费</w:t>
      </w:r>
      <w:r>
        <w:rPr>
          <w:rFonts w:hint="eastAsia" w:ascii="仿宋_GB2312" w:hAnsi="仿宋_GB2312" w:eastAsia="仿宋_GB2312" w:cs="仿宋_GB2312"/>
          <w:snapToGrid w:val="0"/>
          <w:w w:val="95"/>
          <w:sz w:val="32"/>
          <w:szCs w:val="32"/>
        </w:rPr>
        <w:t>。2021年度支出3.33万元，其中：</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1.公务用车购置费。公务用车购置数为0，保有量为1辆，与上年持平，与预算数持平。公务用车购置严格按照我县车辆管理及厉行节约有关要求实行总额控制。</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2.公务用车运行费。2021年度支出3.33万元，比年初预算增加1.58万元，增长32.79%。比</w:t>
      </w:r>
      <w:r>
        <w:rPr>
          <w:rFonts w:hint="eastAsia" w:ascii="仿宋_GB2312" w:hAnsi="仿宋_GB2312" w:eastAsia="仿宋_GB2312" w:cs="仿宋_GB2312"/>
          <w:sz w:val="32"/>
          <w:szCs w:val="32"/>
        </w:rPr>
        <w:t>上年决算减少4.37万元，同比降低3.65%，主要原因为本单位本年度严格执行公务用车运行维护费管理办法，减少公务用车维护费支出。</w:t>
      </w:r>
    </w:p>
    <w:p>
      <w:pPr>
        <w:keepNext w:val="0"/>
        <w:keepLines w:val="0"/>
        <w:pageBreakBefore w:val="0"/>
        <w:widowControl/>
        <w:kinsoku/>
        <w:wordWrap/>
        <w:overflowPunct/>
        <w:topLinePunct w:val="0"/>
        <w:autoSpaceDE/>
        <w:autoSpaceDN/>
        <w:bidi w:val="0"/>
        <w:adjustRightInd w:val="0"/>
        <w:snapToGrid w:val="0"/>
        <w:spacing w:line="560" w:lineRule="exact"/>
        <w:ind w:firstLine="608" w:firstLineChars="200"/>
        <w:textAlignment w:val="auto"/>
        <w:rPr>
          <w:rFonts w:ascii="仿宋_GB2312" w:hAnsi="仿宋_GB2312" w:eastAsia="仿宋_GB2312" w:cs="仿宋_GB2312"/>
          <w:snapToGrid w:val="0"/>
          <w:w w:val="95"/>
          <w:sz w:val="32"/>
          <w:szCs w:val="32"/>
        </w:rPr>
      </w:pPr>
      <w:r>
        <w:rPr>
          <w:rFonts w:hint="eastAsia" w:ascii="楷体_GB2312" w:hAnsi="楷体_GB2312" w:eastAsia="楷体_GB2312" w:cs="楷体_GB2312"/>
          <w:snapToGrid w:val="0"/>
          <w:w w:val="95"/>
          <w:sz w:val="32"/>
          <w:szCs w:val="32"/>
        </w:rPr>
        <w:t>（3）公务接待费。</w:t>
      </w:r>
      <w:r>
        <w:rPr>
          <w:rFonts w:hint="eastAsia" w:ascii="仿宋_GB2312" w:hAnsi="仿宋_GB2312" w:eastAsia="仿宋_GB2312" w:cs="仿宋_GB2312"/>
          <w:snapToGrid w:val="0"/>
          <w:w w:val="95"/>
          <w:sz w:val="32"/>
          <w:szCs w:val="32"/>
        </w:rPr>
        <w:t>2021年度支出0万元，公务接待0批次，0人次。比年初预算减少0.7万元，降低100%。比上年减少0.7万元，同比降低100%。主要原因为我单位按照公务接待相关要求，厉行勤俭节约严格控制不必要的公务接待费支出。</w:t>
      </w:r>
    </w:p>
    <w:p>
      <w:pPr>
        <w:pStyle w:val="8"/>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八、政府性基金预算财政拨款收入支出决算情况说明</w:t>
      </w:r>
    </w:p>
    <w:p>
      <w:pPr>
        <w:pStyle w:val="8"/>
        <w:keepNext w:val="0"/>
        <w:keepLines w:val="0"/>
        <w:pageBreakBefore w:val="0"/>
        <w:kinsoku/>
        <w:wordWrap/>
        <w:overflowPunct/>
        <w:topLinePunct w:val="0"/>
        <w:autoSpaceDE/>
        <w:autoSpaceDN/>
        <w:bidi w:val="0"/>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2021年度本单位无政府性基金预算财政拨款收入，</w:t>
      </w:r>
      <w:r>
        <w:rPr>
          <w:rFonts w:hint="eastAsia" w:ascii="仿宋_GB2312" w:hAnsi="仿宋_GB2312" w:eastAsia="仿宋_GB2312" w:cs="仿宋_GB2312"/>
          <w:snapToGrid w:val="0"/>
          <w:w w:val="95"/>
          <w:sz w:val="32"/>
          <w:szCs w:val="32"/>
        </w:rPr>
        <w:t>与上年持平，与预算数持平</w:t>
      </w:r>
      <w:r>
        <w:rPr>
          <w:rFonts w:hint="eastAsia" w:ascii="仿宋_GB2312" w:hAnsi="仿宋_GB2312" w:eastAsia="仿宋_GB2312" w:cs="仿宋_GB2312"/>
          <w:sz w:val="32"/>
          <w:szCs w:val="32"/>
        </w:rPr>
        <w:t>。</w:t>
      </w:r>
    </w:p>
    <w:p>
      <w:pPr>
        <w:keepNext w:val="0"/>
        <w:keepLines w:val="0"/>
        <w:pageBreakBefore w:val="0"/>
        <w:numPr>
          <w:ilvl w:val="0"/>
          <w:numId w:val="3"/>
        </w:numPr>
        <w:kinsoku/>
        <w:wordWrap/>
        <w:overflowPunct/>
        <w:topLinePunct w:val="0"/>
        <w:autoSpaceDE/>
        <w:autoSpaceDN/>
        <w:bidi w:val="0"/>
        <w:spacing w:line="560" w:lineRule="exact"/>
        <w:ind w:left="638" w:leftChars="304"/>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国有资本经营预算财政拨款支出决算情况说明</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sz w:val="32"/>
          <w:szCs w:val="32"/>
        </w:rPr>
        <w:t>2021年度国有资本经营预算财政拨款支出为0万元，</w:t>
      </w:r>
      <w:r>
        <w:rPr>
          <w:rFonts w:hint="eastAsia" w:ascii="仿宋_GB2312" w:hAnsi="仿宋_GB2312" w:eastAsia="仿宋_GB2312" w:cs="仿宋_GB2312"/>
          <w:snapToGrid w:val="0"/>
          <w:w w:val="95"/>
          <w:sz w:val="32"/>
          <w:szCs w:val="32"/>
        </w:rPr>
        <w:t>与上年持平，与预算数持平。</w:t>
      </w:r>
    </w:p>
    <w:p>
      <w:pPr>
        <w:keepNext w:val="0"/>
        <w:keepLines w:val="0"/>
        <w:pageBreakBefore w:val="0"/>
        <w:kinsoku/>
        <w:wordWrap/>
        <w:overflowPunct/>
        <w:topLinePunct w:val="0"/>
        <w:autoSpaceDE/>
        <w:autoSpaceDN/>
        <w:bidi w:val="0"/>
        <w:spacing w:line="560" w:lineRule="exact"/>
        <w:ind w:firstLine="643" w:firstLineChars="200"/>
        <w:jc w:val="left"/>
        <w:textAlignment w:val="auto"/>
        <w:rPr>
          <w:rFonts w:ascii="仿宋_GB2312" w:hAnsi="仿宋_GB2312" w:eastAsia="仿宋_GB2312" w:cs="仿宋_GB2312"/>
          <w:snapToGrid w:val="0"/>
          <w:w w:val="95"/>
          <w:sz w:val="32"/>
          <w:szCs w:val="32"/>
        </w:rPr>
      </w:pPr>
      <w:r>
        <w:rPr>
          <w:rFonts w:hint="eastAsia" w:ascii="仿宋_GB2312" w:eastAsia="仿宋_GB2312"/>
          <w:b/>
          <w:bCs/>
          <w:sz w:val="32"/>
          <w:szCs w:val="32"/>
        </w:rPr>
        <w:t>十、其他重要事项情况说明</w:t>
      </w:r>
    </w:p>
    <w:p>
      <w:pPr>
        <w:keepNext w:val="0"/>
        <w:keepLines w:val="0"/>
        <w:pageBreakBefore w:val="0"/>
        <w:kinsoku/>
        <w:wordWrap/>
        <w:overflowPunct/>
        <w:topLinePunct w:val="0"/>
        <w:autoSpaceDE/>
        <w:autoSpaceDN/>
        <w:bidi w:val="0"/>
        <w:spacing w:line="560" w:lineRule="exact"/>
        <w:ind w:firstLine="480" w:firstLineChars="150"/>
        <w:textAlignment w:val="auto"/>
        <w:rPr>
          <w:rFonts w:ascii="仿宋_GB2312" w:eastAsia="仿宋_GB2312"/>
          <w:sz w:val="32"/>
          <w:szCs w:val="32"/>
        </w:rPr>
      </w:pPr>
      <w:r>
        <w:rPr>
          <w:rFonts w:hint="eastAsia" w:ascii="楷体_GB2312" w:hAnsi="楷体_GB2312" w:eastAsia="楷体_GB2312" w:cs="楷体_GB2312"/>
          <w:sz w:val="32"/>
          <w:szCs w:val="32"/>
        </w:rPr>
        <w:t>（一）机关运行经费执行情况说明。</w:t>
      </w:r>
      <w:r>
        <w:rPr>
          <w:rFonts w:hint="eastAsia" w:ascii="仿宋_GB2312" w:eastAsia="仿宋_GB2312"/>
          <w:sz w:val="32"/>
          <w:szCs w:val="32"/>
        </w:rPr>
        <w:t>2021年度机关运行经费支出17.64万元，比上年增长</w:t>
      </w:r>
      <w:r>
        <w:rPr>
          <w:rFonts w:hint="eastAsia" w:ascii="仿宋_GB2312" w:hAnsi="仿宋_GB2312" w:eastAsia="仿宋_GB2312" w:cs="仿宋_GB2312"/>
          <w:sz w:val="32"/>
          <w:szCs w:val="32"/>
        </w:rPr>
        <w:t>1.92</w:t>
      </w:r>
      <w:r>
        <w:rPr>
          <w:rFonts w:hint="eastAsia" w:ascii="仿宋_GB2312" w:eastAsia="仿宋_GB2312"/>
          <w:sz w:val="32"/>
          <w:szCs w:val="32"/>
        </w:rPr>
        <w:t>万元，同比增长10.96%。主要原因为本年度公用经费支出较多。</w:t>
      </w:r>
    </w:p>
    <w:p>
      <w:pPr>
        <w:keepNext w:val="0"/>
        <w:keepLines w:val="0"/>
        <w:pageBreakBefore w:val="0"/>
        <w:kinsoku/>
        <w:wordWrap/>
        <w:overflowPunct/>
        <w:topLinePunct w:val="0"/>
        <w:autoSpaceDE/>
        <w:autoSpaceDN/>
        <w:bidi w:val="0"/>
        <w:spacing w:line="560" w:lineRule="exact"/>
        <w:ind w:firstLine="480" w:firstLineChars="150"/>
        <w:jc w:val="left"/>
        <w:textAlignment w:val="auto"/>
        <w:rPr>
          <w:rFonts w:ascii="楷体_GB2312" w:hAnsi="楷体_GB2312" w:eastAsia="仿宋_GB2312" w:cs="楷体_GB2312"/>
          <w:sz w:val="32"/>
          <w:szCs w:val="32"/>
        </w:rPr>
      </w:pPr>
      <w:r>
        <w:rPr>
          <w:rFonts w:hint="eastAsia" w:ascii="楷体_GB2312" w:hAnsi="楷体_GB2312" w:eastAsia="楷体_GB2312" w:cs="楷体_GB2312"/>
          <w:sz w:val="32"/>
          <w:szCs w:val="32"/>
        </w:rPr>
        <w:t>（二）政府采购支出情况说明。</w:t>
      </w:r>
      <w:r>
        <w:rPr>
          <w:rFonts w:hint="eastAsia" w:ascii="仿宋_GB2312" w:eastAsia="仿宋_GB2312"/>
          <w:sz w:val="32"/>
          <w:szCs w:val="32"/>
        </w:rPr>
        <w:t>2021年度政府采购支出0万元，其中：政府采购货物支出0万元，政府采购工程支出0万元，政府采购服务支出0万元。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（三）国有资产占用情况说明。</w:t>
      </w:r>
      <w:r>
        <w:rPr>
          <w:rFonts w:hint="eastAsia" w:ascii="仿宋_GB2312" w:hAnsi="仿宋_GB2312" w:eastAsia="仿宋_GB2312" w:cs="仿宋_GB2312"/>
          <w:sz w:val="32"/>
          <w:szCs w:val="32"/>
        </w:rPr>
        <w:t>截至2021年12月31日，本部门共有车辆</w:t>
      </w:r>
      <w:r>
        <w:rPr>
          <w:rFonts w:hint="eastAsia" w:ascii="仿宋_GB2312" w:hAnsi="仿宋_GB2312" w:eastAsia="仿宋_GB2312" w:cs="仿宋_GB2312"/>
          <w:kern w:val="0"/>
          <w:sz w:val="32"/>
          <w:szCs w:val="32"/>
        </w:rPr>
        <w:t>1</w:t>
      </w:r>
      <w:r>
        <w:rPr>
          <w:rFonts w:hint="eastAsia" w:ascii="仿宋_GB2312" w:hAnsi="仿宋_GB2312" w:eastAsia="仿宋_GB2312" w:cs="仿宋_GB2312"/>
          <w:sz w:val="32"/>
          <w:szCs w:val="32"/>
        </w:rPr>
        <w:t>辆，其中：一般公务用车1辆、机要通信用车0辆、应急保障用车0辆、执法执勤用车0辆、其他用车0辆、单价50万元（含）以上的通用设备0台（套）、单价100万元（含）以上的专用设备0台（套）。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（四）重点绩效评价结果等预算绩效情况说明。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根据预算绩效管理要求，察隅县政法委已按要求编制整体支出绩效目标，并围绕政策落实、年度计划实施、重点工作任务和重大项目开展以及资金管理使用等情况，开展整体支出绩效自评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详见附件</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（五）重点、重大项目信息说明。</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_GB2312" w:eastAsia="仿宋_GB2312"/>
          <w:sz w:val="32"/>
          <w:szCs w:val="32"/>
        </w:rPr>
      </w:pPr>
      <w:r>
        <w:rPr>
          <w:rFonts w:hint="eastAsia" w:ascii="仿宋_GB2312" w:eastAsia="仿宋_GB2312"/>
          <w:sz w:val="32"/>
          <w:szCs w:val="32"/>
        </w:rPr>
        <w:t>2021年度察隅县政法委无重点、重大项目信息。</w:t>
      </w:r>
    </w:p>
    <w:p>
      <w:pPr>
        <w:ind w:left="48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一、财政拨款收入：</w:t>
      </w:r>
      <w:r>
        <w:rPr>
          <w:rFonts w:hint="eastAsia" w:ascii="仿宋_GB2312" w:hAnsi="仿宋_GB2312" w:eastAsia="仿宋_GB2312" w:cs="仿宋_GB2312"/>
          <w:sz w:val="32"/>
          <w:szCs w:val="32"/>
        </w:rPr>
        <w:t>指财政当年拨付的资金。</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二、其他收入：</w:t>
      </w:r>
      <w:r>
        <w:rPr>
          <w:rFonts w:hint="eastAsia" w:ascii="仿宋_GB2312" w:hAnsi="仿宋_GB2312" w:eastAsia="仿宋_GB2312" w:cs="仿宋_GB2312"/>
          <w:bCs/>
          <w:sz w:val="32"/>
          <w:szCs w:val="32"/>
        </w:rPr>
        <w:t>指预算单位在“财政拨款收入”、“事业收入”、“经营收入”之外取得的收入。主要是按规定使用的上级财政补助经费和历年政府采购结转经费。</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三、一般公共服务支出：</w:t>
      </w:r>
      <w:r>
        <w:rPr>
          <w:rFonts w:hint="eastAsia" w:ascii="仿宋_GB2312" w:hAnsi="仿宋_GB2312" w:eastAsia="仿宋_GB2312" w:cs="仿宋_GB2312"/>
          <w:sz w:val="32"/>
          <w:szCs w:val="32"/>
        </w:rPr>
        <w:t>反应政府提供一般公共服务的支出。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四、行政运行：</w:t>
      </w:r>
      <w:r>
        <w:rPr>
          <w:rFonts w:hint="eastAsia" w:ascii="仿宋_GB2312" w:hAnsi="仿宋_GB2312" w:eastAsia="仿宋_GB2312" w:cs="仿宋_GB2312"/>
          <w:sz w:val="32"/>
          <w:szCs w:val="32"/>
        </w:rPr>
        <w:t>指用于保障完成日常工作任务而发生的基本支出。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五、住房保障支出：</w:t>
      </w:r>
      <w:r>
        <w:rPr>
          <w:rFonts w:hint="eastAsia" w:ascii="仿宋_GB2312" w:hAnsi="仿宋_GB2312" w:eastAsia="仿宋_GB2312" w:cs="仿宋_GB2312"/>
          <w:sz w:val="32"/>
          <w:szCs w:val="32"/>
        </w:rPr>
        <w:t>指按照国家政策规定用于住房方面的支出。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六、基本支出：</w:t>
      </w:r>
      <w:r>
        <w:rPr>
          <w:rFonts w:hint="eastAsia" w:ascii="仿宋_GB2312" w:hAnsi="仿宋_GB2312" w:eastAsia="仿宋_GB2312" w:cs="仿宋_GB2312"/>
          <w:sz w:val="32"/>
          <w:szCs w:val="32"/>
        </w:rPr>
        <w:t>指为保障机构正常运转，完成日常工作任务而发生的人员支出（包括基本工资、津贴补贴等）和公用支出（包括办公费、邮电费、差旅费及印刷费等）。</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七、项目支出，</w:t>
      </w:r>
      <w:r>
        <w:rPr>
          <w:rFonts w:hint="eastAsia" w:ascii="仿宋_GB2312" w:hAnsi="仿宋_GB2312" w:eastAsia="仿宋_GB2312" w:cs="仿宋_GB2312"/>
          <w:sz w:val="32"/>
          <w:szCs w:val="32"/>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八、年末结转和结余：</w:t>
      </w:r>
      <w:r>
        <w:rPr>
          <w:rFonts w:hint="eastAsia" w:ascii="仿宋_GB2312" w:hAnsi="仿宋_GB2312" w:eastAsia="仿宋_GB2312" w:cs="仿宋_GB2312"/>
          <w:sz w:val="32"/>
          <w:szCs w:val="32"/>
        </w:rPr>
        <w:t>指本年度或以前年度预算安排，因客观条件发生变化无法按原计划实施，需要延迟到以后年度按有关规定继续使用的资金。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sz w:val="32"/>
          <w:szCs w:val="32"/>
        </w:rPr>
        <w:t>九、</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三公</w:t>
      </w:r>
      <w:r>
        <w:rPr>
          <w:rFonts w:ascii="仿宋_GB2312" w:hAnsi="仿宋_GB2312" w:eastAsia="仿宋_GB2312" w:cs="仿宋_GB2312"/>
          <w:b/>
          <w:sz w:val="32"/>
          <w:szCs w:val="32"/>
        </w:rPr>
        <w:t>”</w:t>
      </w:r>
      <w:r>
        <w:rPr>
          <w:rFonts w:hint="eastAsia" w:ascii="仿宋_GB2312" w:hAnsi="仿宋_GB2312" w:eastAsia="仿宋_GB2312" w:cs="仿宋_GB2312"/>
          <w:b/>
          <w:sz w:val="32"/>
          <w:szCs w:val="32"/>
        </w:rPr>
        <w:t>经费：</w:t>
      </w:r>
      <w:r>
        <w:rPr>
          <w:rFonts w:hint="eastAsia" w:ascii="仿宋_GB2312" w:hAnsi="仿宋_GB2312" w:eastAsia="仿宋_GB2312" w:cs="仿宋_GB2312"/>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30" w:firstLineChars="196"/>
        <w:textAlignment w:val="auto"/>
        <w:rPr>
          <w:rFonts w:ascii="黑体" w:eastAsia="黑体"/>
          <w:sz w:val="32"/>
          <w:szCs w:val="32"/>
        </w:rPr>
      </w:pPr>
      <w:r>
        <w:rPr>
          <w:rFonts w:hint="eastAsia" w:ascii="仿宋_GB2312" w:hAnsi="仿宋_GB2312" w:eastAsia="仿宋_GB2312" w:cs="仿宋_GB2312"/>
          <w:b/>
          <w:sz w:val="32"/>
          <w:szCs w:val="32"/>
        </w:rPr>
        <w:t>十、机关运行经费，</w:t>
      </w:r>
      <w:r>
        <w:rPr>
          <w:rFonts w:hint="eastAsia" w:ascii="仿宋_GB2312" w:hAnsi="仿宋_GB2312" w:eastAsia="仿宋_GB2312" w:cs="仿宋_GB2312"/>
          <w:sz w:val="32"/>
          <w:szCs w:val="32"/>
        </w:rPr>
        <w:t>指为保障行政单位（包括参照公务员法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FangSong_GB2312">
    <w:altName w:val="仿宋_GB2312"/>
    <w:panose1 w:val="02010609060101010101"/>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- 8 -</w:t>
                </w:r>
                <w:r>
                  <w:rPr>
                    <w:rFonts w:hint="eastAsia" w:ascii="仿宋" w:hAnsi="仿宋" w:eastAsia="仿宋" w:cs="仿宋"/>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0EE010"/>
    <w:multiLevelType w:val="singleLevel"/>
    <w:tmpl w:val="F50EE010"/>
    <w:lvl w:ilvl="0" w:tentative="0">
      <w:start w:val="1"/>
      <w:numFmt w:val="decimal"/>
      <w:lvlText w:val="%1."/>
      <w:lvlJc w:val="left"/>
      <w:pPr>
        <w:tabs>
          <w:tab w:val="left" w:pos="312"/>
        </w:tabs>
      </w:pPr>
    </w:lvl>
  </w:abstractNum>
  <w:abstractNum w:abstractNumId="1">
    <w:nsid w:val="347EE069"/>
    <w:multiLevelType w:val="singleLevel"/>
    <w:tmpl w:val="347EE069"/>
    <w:lvl w:ilvl="0" w:tentative="0">
      <w:start w:val="1"/>
      <w:numFmt w:val="chineseCounting"/>
      <w:suff w:val="space"/>
      <w:lvlText w:val="第%1部分"/>
      <w:lvlJc w:val="left"/>
      <w:rPr>
        <w:rFonts w:hint="eastAsia"/>
      </w:rPr>
    </w:lvl>
  </w:abstractNum>
  <w:abstractNum w:abstractNumId="2">
    <w:nsid w:val="3A6239A7"/>
    <w:multiLevelType w:val="singleLevel"/>
    <w:tmpl w:val="3A6239A7"/>
    <w:lvl w:ilvl="0" w:tentative="0">
      <w:start w:val="9"/>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mJhZGM4ZTlhNGIyMmQ3YzRmNDNhNDkxZTdkOGMwYmYifQ=="/>
  </w:docVars>
  <w:rsids>
    <w:rsidRoot w:val="00FB05B8"/>
    <w:rsid w:val="00016C44"/>
    <w:rsid w:val="00043D60"/>
    <w:rsid w:val="00054E45"/>
    <w:rsid w:val="000607F3"/>
    <w:rsid w:val="00086A9F"/>
    <w:rsid w:val="0009057B"/>
    <w:rsid w:val="000A2894"/>
    <w:rsid w:val="000A5378"/>
    <w:rsid w:val="000B783F"/>
    <w:rsid w:val="000D0595"/>
    <w:rsid w:val="000D4985"/>
    <w:rsid w:val="00126EFE"/>
    <w:rsid w:val="001317C0"/>
    <w:rsid w:val="0014514F"/>
    <w:rsid w:val="00157679"/>
    <w:rsid w:val="0018256F"/>
    <w:rsid w:val="00182F3B"/>
    <w:rsid w:val="001853F5"/>
    <w:rsid w:val="00192643"/>
    <w:rsid w:val="001C0F82"/>
    <w:rsid w:val="001C3A6C"/>
    <w:rsid w:val="001C5F53"/>
    <w:rsid w:val="001D7F86"/>
    <w:rsid w:val="001F3F40"/>
    <w:rsid w:val="0020740D"/>
    <w:rsid w:val="002105BA"/>
    <w:rsid w:val="0021393A"/>
    <w:rsid w:val="00220150"/>
    <w:rsid w:val="00254134"/>
    <w:rsid w:val="00262EA0"/>
    <w:rsid w:val="00271B78"/>
    <w:rsid w:val="002817C5"/>
    <w:rsid w:val="00284ED4"/>
    <w:rsid w:val="00286E41"/>
    <w:rsid w:val="002A6A25"/>
    <w:rsid w:val="002C7AB7"/>
    <w:rsid w:val="002D72FE"/>
    <w:rsid w:val="002E7870"/>
    <w:rsid w:val="002F4A21"/>
    <w:rsid w:val="002F4B79"/>
    <w:rsid w:val="002F5DE7"/>
    <w:rsid w:val="0031038C"/>
    <w:rsid w:val="00320A35"/>
    <w:rsid w:val="0032333D"/>
    <w:rsid w:val="0036111C"/>
    <w:rsid w:val="00372A88"/>
    <w:rsid w:val="003743EB"/>
    <w:rsid w:val="00381692"/>
    <w:rsid w:val="00382ED7"/>
    <w:rsid w:val="0038317D"/>
    <w:rsid w:val="00397491"/>
    <w:rsid w:val="0039795E"/>
    <w:rsid w:val="003B2CE5"/>
    <w:rsid w:val="003C5576"/>
    <w:rsid w:val="003D2184"/>
    <w:rsid w:val="00424DB7"/>
    <w:rsid w:val="00426560"/>
    <w:rsid w:val="00433ACE"/>
    <w:rsid w:val="004349E9"/>
    <w:rsid w:val="00440864"/>
    <w:rsid w:val="004652C4"/>
    <w:rsid w:val="0048613F"/>
    <w:rsid w:val="0048713A"/>
    <w:rsid w:val="00493967"/>
    <w:rsid w:val="004A2C48"/>
    <w:rsid w:val="004A3D10"/>
    <w:rsid w:val="004B3831"/>
    <w:rsid w:val="004C3C58"/>
    <w:rsid w:val="004D6DBC"/>
    <w:rsid w:val="004E4C77"/>
    <w:rsid w:val="00502C0D"/>
    <w:rsid w:val="00516720"/>
    <w:rsid w:val="00520B00"/>
    <w:rsid w:val="0052273C"/>
    <w:rsid w:val="00530878"/>
    <w:rsid w:val="00530DB1"/>
    <w:rsid w:val="005320AE"/>
    <w:rsid w:val="00546D0D"/>
    <w:rsid w:val="00547B87"/>
    <w:rsid w:val="00551770"/>
    <w:rsid w:val="005879F2"/>
    <w:rsid w:val="00591EDB"/>
    <w:rsid w:val="005931B7"/>
    <w:rsid w:val="005A6CDD"/>
    <w:rsid w:val="005C1A37"/>
    <w:rsid w:val="005C2AA8"/>
    <w:rsid w:val="005D7C94"/>
    <w:rsid w:val="005E75C1"/>
    <w:rsid w:val="00635666"/>
    <w:rsid w:val="0064191F"/>
    <w:rsid w:val="00642876"/>
    <w:rsid w:val="00645A80"/>
    <w:rsid w:val="0065270E"/>
    <w:rsid w:val="006548F7"/>
    <w:rsid w:val="00675798"/>
    <w:rsid w:val="006773DE"/>
    <w:rsid w:val="006A4063"/>
    <w:rsid w:val="006D4CCB"/>
    <w:rsid w:val="006E6A2B"/>
    <w:rsid w:val="0070214C"/>
    <w:rsid w:val="0070260A"/>
    <w:rsid w:val="00705358"/>
    <w:rsid w:val="00712AED"/>
    <w:rsid w:val="00730C30"/>
    <w:rsid w:val="00741A8B"/>
    <w:rsid w:val="007528F7"/>
    <w:rsid w:val="007573DE"/>
    <w:rsid w:val="00777A2B"/>
    <w:rsid w:val="0078602E"/>
    <w:rsid w:val="007955C4"/>
    <w:rsid w:val="007A0806"/>
    <w:rsid w:val="007A62E0"/>
    <w:rsid w:val="007C43FB"/>
    <w:rsid w:val="007D01E9"/>
    <w:rsid w:val="007D5217"/>
    <w:rsid w:val="007E301B"/>
    <w:rsid w:val="008029FA"/>
    <w:rsid w:val="00805CE7"/>
    <w:rsid w:val="00812641"/>
    <w:rsid w:val="00815254"/>
    <w:rsid w:val="00821F41"/>
    <w:rsid w:val="008235BF"/>
    <w:rsid w:val="00835C20"/>
    <w:rsid w:val="00836944"/>
    <w:rsid w:val="0085415A"/>
    <w:rsid w:val="00872F0E"/>
    <w:rsid w:val="00886BE8"/>
    <w:rsid w:val="008B2AA9"/>
    <w:rsid w:val="008B6FD9"/>
    <w:rsid w:val="008B7FDB"/>
    <w:rsid w:val="008C052F"/>
    <w:rsid w:val="008E7B46"/>
    <w:rsid w:val="00900172"/>
    <w:rsid w:val="009028C4"/>
    <w:rsid w:val="009033F7"/>
    <w:rsid w:val="00926570"/>
    <w:rsid w:val="009A2610"/>
    <w:rsid w:val="009A4D5A"/>
    <w:rsid w:val="009B0039"/>
    <w:rsid w:val="009B2B84"/>
    <w:rsid w:val="009B5EA4"/>
    <w:rsid w:val="009B775A"/>
    <w:rsid w:val="009D7E33"/>
    <w:rsid w:val="009E3CF4"/>
    <w:rsid w:val="009E6E04"/>
    <w:rsid w:val="009F4B7D"/>
    <w:rsid w:val="00A0051C"/>
    <w:rsid w:val="00A0582B"/>
    <w:rsid w:val="00A12570"/>
    <w:rsid w:val="00A15F59"/>
    <w:rsid w:val="00A165FA"/>
    <w:rsid w:val="00A20FB5"/>
    <w:rsid w:val="00A26EDD"/>
    <w:rsid w:val="00A377C1"/>
    <w:rsid w:val="00A559DA"/>
    <w:rsid w:val="00A63A81"/>
    <w:rsid w:val="00A8178C"/>
    <w:rsid w:val="00AB67E2"/>
    <w:rsid w:val="00AC462B"/>
    <w:rsid w:val="00AC775C"/>
    <w:rsid w:val="00AD7F12"/>
    <w:rsid w:val="00AE1B8B"/>
    <w:rsid w:val="00AE1D6D"/>
    <w:rsid w:val="00B059F0"/>
    <w:rsid w:val="00B07069"/>
    <w:rsid w:val="00B20D15"/>
    <w:rsid w:val="00B2450D"/>
    <w:rsid w:val="00B34B22"/>
    <w:rsid w:val="00B614C3"/>
    <w:rsid w:val="00B6564E"/>
    <w:rsid w:val="00B703AC"/>
    <w:rsid w:val="00B71650"/>
    <w:rsid w:val="00B716A8"/>
    <w:rsid w:val="00B87F89"/>
    <w:rsid w:val="00B971E2"/>
    <w:rsid w:val="00BA685C"/>
    <w:rsid w:val="00BB17A4"/>
    <w:rsid w:val="00BC3B74"/>
    <w:rsid w:val="00C0256A"/>
    <w:rsid w:val="00C2739C"/>
    <w:rsid w:val="00C7306A"/>
    <w:rsid w:val="00C742B2"/>
    <w:rsid w:val="00C76D56"/>
    <w:rsid w:val="00C8046F"/>
    <w:rsid w:val="00C91B68"/>
    <w:rsid w:val="00C92C50"/>
    <w:rsid w:val="00CB141A"/>
    <w:rsid w:val="00CC1D3A"/>
    <w:rsid w:val="00CD78D5"/>
    <w:rsid w:val="00D02168"/>
    <w:rsid w:val="00D06EA8"/>
    <w:rsid w:val="00D20F08"/>
    <w:rsid w:val="00D4141F"/>
    <w:rsid w:val="00D522A4"/>
    <w:rsid w:val="00D71343"/>
    <w:rsid w:val="00D7224C"/>
    <w:rsid w:val="00D87458"/>
    <w:rsid w:val="00DA653D"/>
    <w:rsid w:val="00DB6465"/>
    <w:rsid w:val="00DC1B16"/>
    <w:rsid w:val="00DF56D0"/>
    <w:rsid w:val="00DF7D53"/>
    <w:rsid w:val="00E20BC6"/>
    <w:rsid w:val="00E30894"/>
    <w:rsid w:val="00E36848"/>
    <w:rsid w:val="00E43DB9"/>
    <w:rsid w:val="00E55176"/>
    <w:rsid w:val="00E56AF4"/>
    <w:rsid w:val="00E6504C"/>
    <w:rsid w:val="00E75F86"/>
    <w:rsid w:val="00E809B6"/>
    <w:rsid w:val="00E84729"/>
    <w:rsid w:val="00E90E7B"/>
    <w:rsid w:val="00E93433"/>
    <w:rsid w:val="00EA30DA"/>
    <w:rsid w:val="00EE4400"/>
    <w:rsid w:val="00EE556F"/>
    <w:rsid w:val="00EE566D"/>
    <w:rsid w:val="00F24C6F"/>
    <w:rsid w:val="00F437D4"/>
    <w:rsid w:val="00F57203"/>
    <w:rsid w:val="00F60D21"/>
    <w:rsid w:val="00F82A28"/>
    <w:rsid w:val="00F9225B"/>
    <w:rsid w:val="00F93544"/>
    <w:rsid w:val="00F93BD0"/>
    <w:rsid w:val="00F95DE0"/>
    <w:rsid w:val="00FB05B8"/>
    <w:rsid w:val="00FB5134"/>
    <w:rsid w:val="00FB76B5"/>
    <w:rsid w:val="00FC022B"/>
    <w:rsid w:val="00FC5851"/>
    <w:rsid w:val="00FD5A71"/>
    <w:rsid w:val="00FE3A86"/>
    <w:rsid w:val="00FF04FB"/>
    <w:rsid w:val="01190754"/>
    <w:rsid w:val="01411BDE"/>
    <w:rsid w:val="014F743E"/>
    <w:rsid w:val="0160739F"/>
    <w:rsid w:val="0169219B"/>
    <w:rsid w:val="01AA5AC3"/>
    <w:rsid w:val="01C85711"/>
    <w:rsid w:val="0222460E"/>
    <w:rsid w:val="02406968"/>
    <w:rsid w:val="0265089F"/>
    <w:rsid w:val="027C5AE7"/>
    <w:rsid w:val="02D72CED"/>
    <w:rsid w:val="037E5F1D"/>
    <w:rsid w:val="03CC7163"/>
    <w:rsid w:val="03DA0031"/>
    <w:rsid w:val="03EC44F3"/>
    <w:rsid w:val="03FD70A9"/>
    <w:rsid w:val="04012030"/>
    <w:rsid w:val="043B2C3A"/>
    <w:rsid w:val="0452115D"/>
    <w:rsid w:val="04815BD5"/>
    <w:rsid w:val="05097677"/>
    <w:rsid w:val="060825F0"/>
    <w:rsid w:val="063E3381"/>
    <w:rsid w:val="0643722A"/>
    <w:rsid w:val="065E21CA"/>
    <w:rsid w:val="06E8512E"/>
    <w:rsid w:val="06E97EA9"/>
    <w:rsid w:val="06FD6EE5"/>
    <w:rsid w:val="071E1426"/>
    <w:rsid w:val="07594DF7"/>
    <w:rsid w:val="077477A9"/>
    <w:rsid w:val="077949DE"/>
    <w:rsid w:val="078B0FD7"/>
    <w:rsid w:val="07B34C51"/>
    <w:rsid w:val="080201B4"/>
    <w:rsid w:val="08207909"/>
    <w:rsid w:val="088439AF"/>
    <w:rsid w:val="088D6631"/>
    <w:rsid w:val="08D031DD"/>
    <w:rsid w:val="08E30F54"/>
    <w:rsid w:val="0915429C"/>
    <w:rsid w:val="09213420"/>
    <w:rsid w:val="09383344"/>
    <w:rsid w:val="098E615B"/>
    <w:rsid w:val="09CD1DDE"/>
    <w:rsid w:val="09D23368"/>
    <w:rsid w:val="09F407D8"/>
    <w:rsid w:val="0A1E26CD"/>
    <w:rsid w:val="0A1F0C00"/>
    <w:rsid w:val="0A2F3C47"/>
    <w:rsid w:val="0A4E1AEA"/>
    <w:rsid w:val="0A617FB0"/>
    <w:rsid w:val="0A872545"/>
    <w:rsid w:val="0A903954"/>
    <w:rsid w:val="0AE05687"/>
    <w:rsid w:val="0AE77AF1"/>
    <w:rsid w:val="0AF4222B"/>
    <w:rsid w:val="0AF7325D"/>
    <w:rsid w:val="0B1A11A3"/>
    <w:rsid w:val="0B4F32CB"/>
    <w:rsid w:val="0B720DAD"/>
    <w:rsid w:val="0BCD4F1D"/>
    <w:rsid w:val="0BE71D4B"/>
    <w:rsid w:val="0BEC7BC1"/>
    <w:rsid w:val="0BED349F"/>
    <w:rsid w:val="0C190FDA"/>
    <w:rsid w:val="0C1E1F83"/>
    <w:rsid w:val="0C304BB0"/>
    <w:rsid w:val="0C597747"/>
    <w:rsid w:val="0C5A6A4B"/>
    <w:rsid w:val="0C5B5F56"/>
    <w:rsid w:val="0CBB7325"/>
    <w:rsid w:val="0D7C2323"/>
    <w:rsid w:val="0D8F357F"/>
    <w:rsid w:val="0DDC3C40"/>
    <w:rsid w:val="0DE407D7"/>
    <w:rsid w:val="0E0D73AC"/>
    <w:rsid w:val="0E202DD1"/>
    <w:rsid w:val="0E341CF7"/>
    <w:rsid w:val="0E511891"/>
    <w:rsid w:val="0E5A45C9"/>
    <w:rsid w:val="0E8D4346"/>
    <w:rsid w:val="0E9B4A5F"/>
    <w:rsid w:val="0EA0761E"/>
    <w:rsid w:val="0EA63A7E"/>
    <w:rsid w:val="0F260AEC"/>
    <w:rsid w:val="0F313772"/>
    <w:rsid w:val="0F443A6F"/>
    <w:rsid w:val="0F775EC7"/>
    <w:rsid w:val="0FC65547"/>
    <w:rsid w:val="0FCC34FC"/>
    <w:rsid w:val="0FED4320"/>
    <w:rsid w:val="10135F4E"/>
    <w:rsid w:val="102E66FD"/>
    <w:rsid w:val="106B4098"/>
    <w:rsid w:val="10784C3F"/>
    <w:rsid w:val="10E16DBA"/>
    <w:rsid w:val="10FE7208"/>
    <w:rsid w:val="111D5572"/>
    <w:rsid w:val="115616DD"/>
    <w:rsid w:val="11897E1C"/>
    <w:rsid w:val="118C5C7C"/>
    <w:rsid w:val="11D71DB8"/>
    <w:rsid w:val="120E3A6C"/>
    <w:rsid w:val="1257313B"/>
    <w:rsid w:val="12601F0B"/>
    <w:rsid w:val="127B7321"/>
    <w:rsid w:val="12975B33"/>
    <w:rsid w:val="132E7FA6"/>
    <w:rsid w:val="133B537F"/>
    <w:rsid w:val="13AC5DE2"/>
    <w:rsid w:val="13D7782C"/>
    <w:rsid w:val="13E17A11"/>
    <w:rsid w:val="13E9383C"/>
    <w:rsid w:val="14153FCB"/>
    <w:rsid w:val="1469705C"/>
    <w:rsid w:val="14EF7838"/>
    <w:rsid w:val="14F20947"/>
    <w:rsid w:val="14F77C11"/>
    <w:rsid w:val="15131DF0"/>
    <w:rsid w:val="151C638B"/>
    <w:rsid w:val="15226909"/>
    <w:rsid w:val="15274957"/>
    <w:rsid w:val="153A1DE9"/>
    <w:rsid w:val="154F5D4D"/>
    <w:rsid w:val="1594125D"/>
    <w:rsid w:val="1594320F"/>
    <w:rsid w:val="15A128FE"/>
    <w:rsid w:val="15EC5170"/>
    <w:rsid w:val="162A797C"/>
    <w:rsid w:val="16393AEE"/>
    <w:rsid w:val="165C1EC5"/>
    <w:rsid w:val="16F35772"/>
    <w:rsid w:val="17B7334E"/>
    <w:rsid w:val="17CD2403"/>
    <w:rsid w:val="17E937AE"/>
    <w:rsid w:val="181D48C4"/>
    <w:rsid w:val="18255DD6"/>
    <w:rsid w:val="185B13AE"/>
    <w:rsid w:val="188C0ABD"/>
    <w:rsid w:val="18C70DD4"/>
    <w:rsid w:val="18EB15EF"/>
    <w:rsid w:val="19234752"/>
    <w:rsid w:val="192B0B9A"/>
    <w:rsid w:val="192E320B"/>
    <w:rsid w:val="197856BC"/>
    <w:rsid w:val="19AA096B"/>
    <w:rsid w:val="19DC3CF4"/>
    <w:rsid w:val="1A581A52"/>
    <w:rsid w:val="1A6105B6"/>
    <w:rsid w:val="1A707545"/>
    <w:rsid w:val="1A7B0FF9"/>
    <w:rsid w:val="1ACE64AB"/>
    <w:rsid w:val="1AE16D98"/>
    <w:rsid w:val="1AEC2C50"/>
    <w:rsid w:val="1B057A41"/>
    <w:rsid w:val="1B367D8E"/>
    <w:rsid w:val="1B7109B6"/>
    <w:rsid w:val="1C0D3A85"/>
    <w:rsid w:val="1C93612C"/>
    <w:rsid w:val="1CAE2196"/>
    <w:rsid w:val="1D323688"/>
    <w:rsid w:val="1DAC4595"/>
    <w:rsid w:val="1DCE5AB6"/>
    <w:rsid w:val="1DEB67E3"/>
    <w:rsid w:val="1DF65BA3"/>
    <w:rsid w:val="1E8C2CD6"/>
    <w:rsid w:val="1EC46953"/>
    <w:rsid w:val="1F352739"/>
    <w:rsid w:val="1F404C92"/>
    <w:rsid w:val="1F4A2C87"/>
    <w:rsid w:val="1F732CC3"/>
    <w:rsid w:val="1FDC3875"/>
    <w:rsid w:val="1FF64AF5"/>
    <w:rsid w:val="20060581"/>
    <w:rsid w:val="201D4D0E"/>
    <w:rsid w:val="20615153"/>
    <w:rsid w:val="20784604"/>
    <w:rsid w:val="209A2193"/>
    <w:rsid w:val="20A27992"/>
    <w:rsid w:val="20AD33C0"/>
    <w:rsid w:val="20B014F7"/>
    <w:rsid w:val="20B047F8"/>
    <w:rsid w:val="20BB13C9"/>
    <w:rsid w:val="21344B4B"/>
    <w:rsid w:val="21357098"/>
    <w:rsid w:val="21B17A58"/>
    <w:rsid w:val="21B3797C"/>
    <w:rsid w:val="21D2336C"/>
    <w:rsid w:val="21DD2940"/>
    <w:rsid w:val="21DF1099"/>
    <w:rsid w:val="22264BFB"/>
    <w:rsid w:val="228D60F6"/>
    <w:rsid w:val="22933B81"/>
    <w:rsid w:val="22F23976"/>
    <w:rsid w:val="23021452"/>
    <w:rsid w:val="23105FD7"/>
    <w:rsid w:val="232F0410"/>
    <w:rsid w:val="233A7A0A"/>
    <w:rsid w:val="238A6703"/>
    <w:rsid w:val="23AD4F2E"/>
    <w:rsid w:val="23DB7500"/>
    <w:rsid w:val="23E0752E"/>
    <w:rsid w:val="240235FB"/>
    <w:rsid w:val="241033B9"/>
    <w:rsid w:val="24262A62"/>
    <w:rsid w:val="24633129"/>
    <w:rsid w:val="247C476A"/>
    <w:rsid w:val="24925309"/>
    <w:rsid w:val="24C70A7D"/>
    <w:rsid w:val="24E207E3"/>
    <w:rsid w:val="24E649A4"/>
    <w:rsid w:val="24F401BB"/>
    <w:rsid w:val="24F63A00"/>
    <w:rsid w:val="255741FF"/>
    <w:rsid w:val="25615BEB"/>
    <w:rsid w:val="25660E2E"/>
    <w:rsid w:val="25710C7A"/>
    <w:rsid w:val="258D7E8D"/>
    <w:rsid w:val="26046103"/>
    <w:rsid w:val="261F69B7"/>
    <w:rsid w:val="27F90679"/>
    <w:rsid w:val="281618C5"/>
    <w:rsid w:val="28247C87"/>
    <w:rsid w:val="28376E94"/>
    <w:rsid w:val="285828E5"/>
    <w:rsid w:val="28653502"/>
    <w:rsid w:val="287309F7"/>
    <w:rsid w:val="28746B4A"/>
    <w:rsid w:val="28AC2E0B"/>
    <w:rsid w:val="28CA0FE2"/>
    <w:rsid w:val="28D36E04"/>
    <w:rsid w:val="290D295E"/>
    <w:rsid w:val="291558A3"/>
    <w:rsid w:val="29487BC6"/>
    <w:rsid w:val="29551ED8"/>
    <w:rsid w:val="29831A2D"/>
    <w:rsid w:val="298C2759"/>
    <w:rsid w:val="29911ECA"/>
    <w:rsid w:val="29A7505E"/>
    <w:rsid w:val="29FA6023"/>
    <w:rsid w:val="2A337514"/>
    <w:rsid w:val="2A753821"/>
    <w:rsid w:val="2A9F5C2C"/>
    <w:rsid w:val="2AED2707"/>
    <w:rsid w:val="2B220DAD"/>
    <w:rsid w:val="2B4F3BB5"/>
    <w:rsid w:val="2B5D54E7"/>
    <w:rsid w:val="2B5E29B1"/>
    <w:rsid w:val="2B664296"/>
    <w:rsid w:val="2C2529BD"/>
    <w:rsid w:val="2C82694E"/>
    <w:rsid w:val="2CAD182D"/>
    <w:rsid w:val="2D01320C"/>
    <w:rsid w:val="2D21246F"/>
    <w:rsid w:val="2D3A646F"/>
    <w:rsid w:val="2D5B7474"/>
    <w:rsid w:val="2D7B6A45"/>
    <w:rsid w:val="2DA83E89"/>
    <w:rsid w:val="2DAF04EC"/>
    <w:rsid w:val="2DBC783D"/>
    <w:rsid w:val="2DF41F4C"/>
    <w:rsid w:val="2E177979"/>
    <w:rsid w:val="2E331C8F"/>
    <w:rsid w:val="2E3C12F8"/>
    <w:rsid w:val="2E4A7695"/>
    <w:rsid w:val="2E61515A"/>
    <w:rsid w:val="2E6F28BA"/>
    <w:rsid w:val="2E7D68FA"/>
    <w:rsid w:val="2EE26B9D"/>
    <w:rsid w:val="2EEF239B"/>
    <w:rsid w:val="2F131B64"/>
    <w:rsid w:val="2F1A79B2"/>
    <w:rsid w:val="2F9031C9"/>
    <w:rsid w:val="2FCC70D8"/>
    <w:rsid w:val="2FDF60C1"/>
    <w:rsid w:val="302C1E05"/>
    <w:rsid w:val="307F76B3"/>
    <w:rsid w:val="309F4A50"/>
    <w:rsid w:val="30B85EDF"/>
    <w:rsid w:val="30E273D5"/>
    <w:rsid w:val="311F1E9F"/>
    <w:rsid w:val="31871F90"/>
    <w:rsid w:val="31A3609D"/>
    <w:rsid w:val="31F8192B"/>
    <w:rsid w:val="32114431"/>
    <w:rsid w:val="322D2CB4"/>
    <w:rsid w:val="32933866"/>
    <w:rsid w:val="32983192"/>
    <w:rsid w:val="32D108F1"/>
    <w:rsid w:val="33A73A6E"/>
    <w:rsid w:val="33A91A06"/>
    <w:rsid w:val="33D608B3"/>
    <w:rsid w:val="33EE45A0"/>
    <w:rsid w:val="341A178E"/>
    <w:rsid w:val="34360EE0"/>
    <w:rsid w:val="34520027"/>
    <w:rsid w:val="34524EB7"/>
    <w:rsid w:val="3455668C"/>
    <w:rsid w:val="345C23B7"/>
    <w:rsid w:val="348859FE"/>
    <w:rsid w:val="34DA4A3E"/>
    <w:rsid w:val="34E15892"/>
    <w:rsid w:val="3511435E"/>
    <w:rsid w:val="355431A7"/>
    <w:rsid w:val="357525C9"/>
    <w:rsid w:val="35933AE6"/>
    <w:rsid w:val="35A858FB"/>
    <w:rsid w:val="35AB6C71"/>
    <w:rsid w:val="35C25411"/>
    <w:rsid w:val="35D25DC6"/>
    <w:rsid w:val="35ED61F6"/>
    <w:rsid w:val="35FD1A71"/>
    <w:rsid w:val="36137A13"/>
    <w:rsid w:val="368E7BB6"/>
    <w:rsid w:val="36A408E8"/>
    <w:rsid w:val="36AD40BA"/>
    <w:rsid w:val="3737610F"/>
    <w:rsid w:val="374D5432"/>
    <w:rsid w:val="37507B97"/>
    <w:rsid w:val="376800F7"/>
    <w:rsid w:val="37970C53"/>
    <w:rsid w:val="37DE233C"/>
    <w:rsid w:val="38D3595B"/>
    <w:rsid w:val="391660D2"/>
    <w:rsid w:val="397321E5"/>
    <w:rsid w:val="399120D1"/>
    <w:rsid w:val="39C24964"/>
    <w:rsid w:val="3A0E62A5"/>
    <w:rsid w:val="3A170417"/>
    <w:rsid w:val="3A4737F8"/>
    <w:rsid w:val="3A657A4A"/>
    <w:rsid w:val="3A7F469D"/>
    <w:rsid w:val="3A9C47F5"/>
    <w:rsid w:val="3B4A7624"/>
    <w:rsid w:val="3BCC7916"/>
    <w:rsid w:val="3C272250"/>
    <w:rsid w:val="3C5E58C4"/>
    <w:rsid w:val="3C720321"/>
    <w:rsid w:val="3C7A2CE2"/>
    <w:rsid w:val="3C7E7DD7"/>
    <w:rsid w:val="3CB4373A"/>
    <w:rsid w:val="3CEB7B3A"/>
    <w:rsid w:val="3CF303F6"/>
    <w:rsid w:val="3D2C717E"/>
    <w:rsid w:val="3DC24A10"/>
    <w:rsid w:val="3DC4107E"/>
    <w:rsid w:val="3E04466D"/>
    <w:rsid w:val="3E0502C1"/>
    <w:rsid w:val="3E3D5C2B"/>
    <w:rsid w:val="3E6F5648"/>
    <w:rsid w:val="3EBA4C2E"/>
    <w:rsid w:val="3F131871"/>
    <w:rsid w:val="3F61072F"/>
    <w:rsid w:val="3F695B2B"/>
    <w:rsid w:val="3F796BD4"/>
    <w:rsid w:val="3F8A0ED3"/>
    <w:rsid w:val="3FA6594E"/>
    <w:rsid w:val="3FCE5511"/>
    <w:rsid w:val="3FE14580"/>
    <w:rsid w:val="400E1E38"/>
    <w:rsid w:val="402463CB"/>
    <w:rsid w:val="40524664"/>
    <w:rsid w:val="4085534C"/>
    <w:rsid w:val="408A0A24"/>
    <w:rsid w:val="409A53EB"/>
    <w:rsid w:val="40B777D3"/>
    <w:rsid w:val="40FF4699"/>
    <w:rsid w:val="412B1E92"/>
    <w:rsid w:val="413A6B31"/>
    <w:rsid w:val="4140798F"/>
    <w:rsid w:val="414E1C42"/>
    <w:rsid w:val="41517023"/>
    <w:rsid w:val="415D3FB5"/>
    <w:rsid w:val="416E066D"/>
    <w:rsid w:val="41815E1D"/>
    <w:rsid w:val="42155935"/>
    <w:rsid w:val="423E4ED9"/>
    <w:rsid w:val="426E267A"/>
    <w:rsid w:val="43375BBF"/>
    <w:rsid w:val="433C5FBA"/>
    <w:rsid w:val="43960FD8"/>
    <w:rsid w:val="43D50FEC"/>
    <w:rsid w:val="43D910F0"/>
    <w:rsid w:val="43F62BC1"/>
    <w:rsid w:val="449C66AF"/>
    <w:rsid w:val="44C96627"/>
    <w:rsid w:val="44CB088F"/>
    <w:rsid w:val="44F57E99"/>
    <w:rsid w:val="45065B38"/>
    <w:rsid w:val="45150771"/>
    <w:rsid w:val="454476BE"/>
    <w:rsid w:val="454756A0"/>
    <w:rsid w:val="45847093"/>
    <w:rsid w:val="45B97A14"/>
    <w:rsid w:val="461B7A3A"/>
    <w:rsid w:val="46274B13"/>
    <w:rsid w:val="4653609C"/>
    <w:rsid w:val="46CC256C"/>
    <w:rsid w:val="46E36A7D"/>
    <w:rsid w:val="47045DC3"/>
    <w:rsid w:val="477D0A2F"/>
    <w:rsid w:val="47A82FFD"/>
    <w:rsid w:val="47B701F5"/>
    <w:rsid w:val="47EB56E1"/>
    <w:rsid w:val="48473F5E"/>
    <w:rsid w:val="4849005D"/>
    <w:rsid w:val="48545ACA"/>
    <w:rsid w:val="48654977"/>
    <w:rsid w:val="488C6E75"/>
    <w:rsid w:val="48C321F4"/>
    <w:rsid w:val="48D151DA"/>
    <w:rsid w:val="48DE5B50"/>
    <w:rsid w:val="48FF0DFE"/>
    <w:rsid w:val="494220CF"/>
    <w:rsid w:val="49AD72D9"/>
    <w:rsid w:val="49BF2265"/>
    <w:rsid w:val="49CA4591"/>
    <w:rsid w:val="4A7D48B5"/>
    <w:rsid w:val="4AE2074A"/>
    <w:rsid w:val="4AE35FAB"/>
    <w:rsid w:val="4B044DB0"/>
    <w:rsid w:val="4BC23FA9"/>
    <w:rsid w:val="4C2131E6"/>
    <w:rsid w:val="4C2E7F1D"/>
    <w:rsid w:val="4C7B3A6C"/>
    <w:rsid w:val="4C8009A3"/>
    <w:rsid w:val="4CA5688D"/>
    <w:rsid w:val="4D0647E6"/>
    <w:rsid w:val="4D3B3636"/>
    <w:rsid w:val="4D3D6ABF"/>
    <w:rsid w:val="4D5B71EC"/>
    <w:rsid w:val="4D895B83"/>
    <w:rsid w:val="4DC14920"/>
    <w:rsid w:val="4E111275"/>
    <w:rsid w:val="4E2D74E1"/>
    <w:rsid w:val="4E824F9D"/>
    <w:rsid w:val="4EDD08E9"/>
    <w:rsid w:val="4EFC718B"/>
    <w:rsid w:val="4F0768BB"/>
    <w:rsid w:val="4F114B96"/>
    <w:rsid w:val="4F2308EF"/>
    <w:rsid w:val="4F294268"/>
    <w:rsid w:val="4F346A97"/>
    <w:rsid w:val="4F480852"/>
    <w:rsid w:val="4FDA7BA2"/>
    <w:rsid w:val="5005280C"/>
    <w:rsid w:val="5019752A"/>
    <w:rsid w:val="5034385D"/>
    <w:rsid w:val="5075485B"/>
    <w:rsid w:val="508839C8"/>
    <w:rsid w:val="50E13B71"/>
    <w:rsid w:val="51010F22"/>
    <w:rsid w:val="51104F77"/>
    <w:rsid w:val="519B3F7B"/>
    <w:rsid w:val="51A96058"/>
    <w:rsid w:val="51B313CC"/>
    <w:rsid w:val="51BB3C0C"/>
    <w:rsid w:val="51E66290"/>
    <w:rsid w:val="52647CD1"/>
    <w:rsid w:val="526F3518"/>
    <w:rsid w:val="52CB3657"/>
    <w:rsid w:val="532A692B"/>
    <w:rsid w:val="533A041D"/>
    <w:rsid w:val="53F1227E"/>
    <w:rsid w:val="5423436B"/>
    <w:rsid w:val="54300A57"/>
    <w:rsid w:val="54F31C70"/>
    <w:rsid w:val="55427F71"/>
    <w:rsid w:val="557F73BB"/>
    <w:rsid w:val="55831B3D"/>
    <w:rsid w:val="55C256B9"/>
    <w:rsid w:val="55EC0C5F"/>
    <w:rsid w:val="55FD46C1"/>
    <w:rsid w:val="565F67C7"/>
    <w:rsid w:val="56A74288"/>
    <w:rsid w:val="56E055F3"/>
    <w:rsid w:val="5711697C"/>
    <w:rsid w:val="57B15E3E"/>
    <w:rsid w:val="582F3C6B"/>
    <w:rsid w:val="583C7C54"/>
    <w:rsid w:val="58405AF6"/>
    <w:rsid w:val="58454E73"/>
    <w:rsid w:val="58670BFF"/>
    <w:rsid w:val="588474F5"/>
    <w:rsid w:val="58F41895"/>
    <w:rsid w:val="5923096E"/>
    <w:rsid w:val="59537CF9"/>
    <w:rsid w:val="59645864"/>
    <w:rsid w:val="596B1600"/>
    <w:rsid w:val="597F2EC3"/>
    <w:rsid w:val="59891419"/>
    <w:rsid w:val="59B43932"/>
    <w:rsid w:val="59E143BB"/>
    <w:rsid w:val="5A2550C5"/>
    <w:rsid w:val="5A2E718C"/>
    <w:rsid w:val="5A4254B1"/>
    <w:rsid w:val="5AB604F1"/>
    <w:rsid w:val="5ADA30D5"/>
    <w:rsid w:val="5B0046C9"/>
    <w:rsid w:val="5B33720F"/>
    <w:rsid w:val="5B355FC0"/>
    <w:rsid w:val="5BD20AD2"/>
    <w:rsid w:val="5C873088"/>
    <w:rsid w:val="5D9233EA"/>
    <w:rsid w:val="5DBF0E47"/>
    <w:rsid w:val="5DC45DBE"/>
    <w:rsid w:val="5DC5615F"/>
    <w:rsid w:val="5E1A1C2C"/>
    <w:rsid w:val="5E320D32"/>
    <w:rsid w:val="5E3A23A6"/>
    <w:rsid w:val="5E40400B"/>
    <w:rsid w:val="5E426981"/>
    <w:rsid w:val="5E7F0481"/>
    <w:rsid w:val="5E8B2D52"/>
    <w:rsid w:val="5EA722F0"/>
    <w:rsid w:val="5F6D0C22"/>
    <w:rsid w:val="5FF330FC"/>
    <w:rsid w:val="601C418A"/>
    <w:rsid w:val="60312EBD"/>
    <w:rsid w:val="60496D39"/>
    <w:rsid w:val="6092785E"/>
    <w:rsid w:val="60A14E0E"/>
    <w:rsid w:val="60BB6BBF"/>
    <w:rsid w:val="61403A29"/>
    <w:rsid w:val="623E0A93"/>
    <w:rsid w:val="6240174B"/>
    <w:rsid w:val="62490A5A"/>
    <w:rsid w:val="626605A8"/>
    <w:rsid w:val="627737C8"/>
    <w:rsid w:val="629457A8"/>
    <w:rsid w:val="62A43AF9"/>
    <w:rsid w:val="63354556"/>
    <w:rsid w:val="63666713"/>
    <w:rsid w:val="63710425"/>
    <w:rsid w:val="637512DF"/>
    <w:rsid w:val="637E23A2"/>
    <w:rsid w:val="638920E0"/>
    <w:rsid w:val="63A177C9"/>
    <w:rsid w:val="63C4679E"/>
    <w:rsid w:val="642379C5"/>
    <w:rsid w:val="642E15AE"/>
    <w:rsid w:val="64531F05"/>
    <w:rsid w:val="64D34B2D"/>
    <w:rsid w:val="651376B7"/>
    <w:rsid w:val="653A02CF"/>
    <w:rsid w:val="65560103"/>
    <w:rsid w:val="656649C4"/>
    <w:rsid w:val="65D67393"/>
    <w:rsid w:val="65D93B1D"/>
    <w:rsid w:val="663650FC"/>
    <w:rsid w:val="663C25E1"/>
    <w:rsid w:val="666F013A"/>
    <w:rsid w:val="66BC0E05"/>
    <w:rsid w:val="66CD4CA9"/>
    <w:rsid w:val="67230D95"/>
    <w:rsid w:val="672A3BCD"/>
    <w:rsid w:val="68216299"/>
    <w:rsid w:val="686660AE"/>
    <w:rsid w:val="688F2809"/>
    <w:rsid w:val="68AE41F3"/>
    <w:rsid w:val="692861FC"/>
    <w:rsid w:val="693037E7"/>
    <w:rsid w:val="695A5B5C"/>
    <w:rsid w:val="697F74A7"/>
    <w:rsid w:val="698C0ED7"/>
    <w:rsid w:val="699B2B73"/>
    <w:rsid w:val="69A770EA"/>
    <w:rsid w:val="6A021E17"/>
    <w:rsid w:val="6A4F71C1"/>
    <w:rsid w:val="6A563F89"/>
    <w:rsid w:val="6A6C2EB7"/>
    <w:rsid w:val="6A896258"/>
    <w:rsid w:val="6A8B66E0"/>
    <w:rsid w:val="6AA80864"/>
    <w:rsid w:val="6AA90889"/>
    <w:rsid w:val="6AB47D31"/>
    <w:rsid w:val="6AB9328C"/>
    <w:rsid w:val="6AED15E9"/>
    <w:rsid w:val="6AF0115C"/>
    <w:rsid w:val="6B156E29"/>
    <w:rsid w:val="6B3B6FA0"/>
    <w:rsid w:val="6B5E436A"/>
    <w:rsid w:val="6B7D189E"/>
    <w:rsid w:val="6BB74F29"/>
    <w:rsid w:val="6BBD5648"/>
    <w:rsid w:val="6C080D3A"/>
    <w:rsid w:val="6C2B6830"/>
    <w:rsid w:val="6C912E54"/>
    <w:rsid w:val="6CAB2DE1"/>
    <w:rsid w:val="6D0A3E25"/>
    <w:rsid w:val="6D0E73EA"/>
    <w:rsid w:val="6D3B5643"/>
    <w:rsid w:val="6D6546FD"/>
    <w:rsid w:val="6D953261"/>
    <w:rsid w:val="6DA84EE1"/>
    <w:rsid w:val="6E00353C"/>
    <w:rsid w:val="6E1B5725"/>
    <w:rsid w:val="6E7B1D76"/>
    <w:rsid w:val="6F011566"/>
    <w:rsid w:val="6F255023"/>
    <w:rsid w:val="6F6E592F"/>
    <w:rsid w:val="6FCB6592"/>
    <w:rsid w:val="6FF460E3"/>
    <w:rsid w:val="70A402CF"/>
    <w:rsid w:val="71490590"/>
    <w:rsid w:val="7165302F"/>
    <w:rsid w:val="717F0A9B"/>
    <w:rsid w:val="719666A3"/>
    <w:rsid w:val="723E5444"/>
    <w:rsid w:val="72472BE1"/>
    <w:rsid w:val="72F56F08"/>
    <w:rsid w:val="72FD347C"/>
    <w:rsid w:val="73004BD7"/>
    <w:rsid w:val="731C5C06"/>
    <w:rsid w:val="73211019"/>
    <w:rsid w:val="73462E37"/>
    <w:rsid w:val="7365736C"/>
    <w:rsid w:val="738439C5"/>
    <w:rsid w:val="73C96D17"/>
    <w:rsid w:val="73EE6EFF"/>
    <w:rsid w:val="73F27731"/>
    <w:rsid w:val="74687F9F"/>
    <w:rsid w:val="74842034"/>
    <w:rsid w:val="74C374EF"/>
    <w:rsid w:val="750760F8"/>
    <w:rsid w:val="75162487"/>
    <w:rsid w:val="756B3D78"/>
    <w:rsid w:val="761210AA"/>
    <w:rsid w:val="765B3933"/>
    <w:rsid w:val="767C5C18"/>
    <w:rsid w:val="769D0054"/>
    <w:rsid w:val="76C11445"/>
    <w:rsid w:val="774D5183"/>
    <w:rsid w:val="776B6348"/>
    <w:rsid w:val="77A05FF6"/>
    <w:rsid w:val="77DF3816"/>
    <w:rsid w:val="77EA63A3"/>
    <w:rsid w:val="78503AFC"/>
    <w:rsid w:val="78797974"/>
    <w:rsid w:val="78926FA6"/>
    <w:rsid w:val="7945193E"/>
    <w:rsid w:val="796D7F89"/>
    <w:rsid w:val="797B2BE8"/>
    <w:rsid w:val="799F5CAA"/>
    <w:rsid w:val="79C55BAD"/>
    <w:rsid w:val="79D67130"/>
    <w:rsid w:val="79D70E4C"/>
    <w:rsid w:val="79EB0AE8"/>
    <w:rsid w:val="7A44619D"/>
    <w:rsid w:val="7AC13FB3"/>
    <w:rsid w:val="7B127C9C"/>
    <w:rsid w:val="7C213321"/>
    <w:rsid w:val="7C2408DA"/>
    <w:rsid w:val="7C584AB6"/>
    <w:rsid w:val="7C8901FC"/>
    <w:rsid w:val="7CB81C44"/>
    <w:rsid w:val="7CE10A11"/>
    <w:rsid w:val="7CEC5144"/>
    <w:rsid w:val="7D262131"/>
    <w:rsid w:val="7D8B18B6"/>
    <w:rsid w:val="7D916B14"/>
    <w:rsid w:val="7DE24624"/>
    <w:rsid w:val="7DF1189C"/>
    <w:rsid w:val="7DFA3191"/>
    <w:rsid w:val="7E387F4E"/>
    <w:rsid w:val="7E3D449D"/>
    <w:rsid w:val="7E41747D"/>
    <w:rsid w:val="7E525F40"/>
    <w:rsid w:val="7EAE7C4B"/>
    <w:rsid w:val="7EB47782"/>
    <w:rsid w:val="7EDE44E4"/>
    <w:rsid w:val="7EE81588"/>
    <w:rsid w:val="7EFC0521"/>
    <w:rsid w:val="7F082B8F"/>
    <w:rsid w:val="7F0A2441"/>
    <w:rsid w:val="7F2732D8"/>
    <w:rsid w:val="7F755508"/>
    <w:rsid w:val="7F91692E"/>
    <w:rsid w:val="7FAF78C9"/>
    <w:rsid w:val="7FBB2973"/>
    <w:rsid w:val="7FFF7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 w:type="paragraph" w:customStyle="1" w:styleId="8">
    <w:name w:val="列出段落1"/>
    <w:basedOn w:val="1"/>
    <w:qFormat/>
    <w:uiPriority w:val="0"/>
    <w:pPr>
      <w:ind w:firstLine="420" w:firstLineChars="200"/>
    </w:pPr>
    <w:rPr>
      <w:rFonts w:ascii="Calibri" w:hAnsi="Calibri" w:eastAsia="宋体" w:cs="Times New Roman"/>
    </w:rPr>
  </w:style>
  <w:style w:type="paragraph" w:styleId="9">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10</Pages>
  <Words>3768</Words>
  <Characters>4107</Characters>
  <Lines>30</Lines>
  <Paragraphs>8</Paragraphs>
  <TotalTime>0</TotalTime>
  <ScaleCrop>false</ScaleCrop>
  <LinksUpToDate>false</LinksUpToDate>
  <CharactersWithSpaces>4120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2018-08-21T13:39:00Z</dcterms:created>
  <dc:creator>先红</dc:creator>
  <cp:lastModifiedBy>Jade  DONG</cp:lastModifiedBy>
  <cp:lastPrinted>2019-07-09T04:25:00Z</cp:lastPrinted>
  <dcterms:modified xsi:type="dcterms:W3CDTF">2023-04-28T15:17:36Z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73BE70FE805B4A4CA05AD34D3F19FC0F_12</vt:lpwstr>
  </property>
</Properties>
</file>