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FangSong_GB2312" w:eastAsia="黑体" w:cs="FangSong_GB2312"/>
          <w:sz w:val="72"/>
          <w:szCs w:val="72"/>
        </w:rPr>
      </w:pPr>
    </w:p>
    <w:p>
      <w:pPr>
        <w:rPr>
          <w:rFonts w:ascii="黑体" w:hAnsi="FangSong_GB2312" w:eastAsia="黑体" w:cs="FangSong_GB2312"/>
          <w:sz w:val="52"/>
          <w:szCs w:val="52"/>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察隅县应急管理局</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FangSong_GB2312" w:eastAsia="黑体" w:cs="FangSong_GB2312"/>
          <w:sz w:val="44"/>
          <w:szCs w:val="44"/>
        </w:rPr>
      </w:pPr>
    </w:p>
    <w:p>
      <w:pPr>
        <w:jc w:val="center"/>
        <w:rPr>
          <w:rFonts w:ascii="黑体" w:hAnsi="FangSong_GB2312" w:eastAsia="黑体" w:cs="FangSong_GB2312"/>
          <w:sz w:val="44"/>
          <w:szCs w:val="44"/>
        </w:rPr>
      </w:pPr>
    </w:p>
    <w:p>
      <w:pPr>
        <w:jc w:val="center"/>
        <w:rPr>
          <w:rFonts w:ascii="黑体" w:hAnsi="FangSong_GB2312" w:eastAsia="黑体" w:cs="FangSong_GB2312"/>
          <w:sz w:val="44"/>
          <w:szCs w:val="44"/>
        </w:rPr>
      </w:pPr>
    </w:p>
    <w:p>
      <w:pPr>
        <w:jc w:val="center"/>
        <w:rPr>
          <w:rFonts w:ascii="黑体" w:hAnsi="FangSong_GB2312" w:eastAsia="黑体" w:cs="FangSong_GB2312"/>
          <w:sz w:val="44"/>
          <w:szCs w:val="44"/>
        </w:rPr>
      </w:pPr>
    </w:p>
    <w:p>
      <w:pPr>
        <w:jc w:val="center"/>
        <w:rPr>
          <w:rFonts w:ascii="黑体" w:hAnsi="FangSong_GB2312" w:eastAsia="黑体" w:cs="FangSong_GB2312"/>
          <w:sz w:val="44"/>
          <w:szCs w:val="44"/>
        </w:rPr>
      </w:pPr>
    </w:p>
    <w:p>
      <w:pPr>
        <w:jc w:val="center"/>
        <w:rPr>
          <w:rFonts w:ascii="黑体" w:hAnsi="FangSong_GB2312" w:eastAsia="黑体" w:cs="FangSong_GB2312"/>
          <w:sz w:val="44"/>
          <w:szCs w:val="44"/>
        </w:rPr>
      </w:pPr>
    </w:p>
    <w:p>
      <w:pPr>
        <w:jc w:val="center"/>
        <w:rPr>
          <w:rFonts w:ascii="黑体" w:hAnsi="FangSong_GB2312" w:eastAsia="黑体" w:cs="FangSong_GB2312"/>
          <w:sz w:val="44"/>
          <w:szCs w:val="44"/>
        </w:rPr>
      </w:pPr>
    </w:p>
    <w:p>
      <w:pPr>
        <w:rPr>
          <w:rFonts w:ascii="黑体" w:hAnsi="FangSong_GB2312" w:eastAsia="黑体" w:cs="FangSong_GB2312"/>
          <w:sz w:val="44"/>
          <w:szCs w:val="44"/>
        </w:rPr>
      </w:pPr>
    </w:p>
    <w:p>
      <w:pPr>
        <w:rPr>
          <w:rFonts w:ascii="黑体" w:hAnsi="FangSong_GB2312" w:eastAsia="黑体" w:cs="FangSong_GB2312"/>
          <w:sz w:val="44"/>
          <w:szCs w:val="44"/>
        </w:rPr>
      </w:pPr>
    </w:p>
    <w:p>
      <w:pPr>
        <w:rPr>
          <w:rFonts w:ascii="黑体" w:hAnsi="FangSong_GB2312" w:eastAsia="黑体" w:cs="FangSong_GB2312"/>
          <w:sz w:val="44"/>
          <w:szCs w:val="44"/>
        </w:rPr>
      </w:pPr>
    </w:p>
    <w:p>
      <w:pPr>
        <w:rPr>
          <w:rFonts w:ascii="黑体" w:hAnsi="FangSong_GB2312" w:eastAsia="黑体" w:cs="FangSong_GB2312"/>
          <w:sz w:val="44"/>
          <w:szCs w:val="44"/>
        </w:rPr>
      </w:pPr>
    </w:p>
    <w:p>
      <w:pPr>
        <w:rPr>
          <w:rFonts w:ascii="黑体" w:hAnsi="FangSong_GB2312" w:eastAsia="黑体" w:cs="FangSong_GB2312"/>
          <w:sz w:val="44"/>
          <w:szCs w:val="44"/>
        </w:rPr>
      </w:pPr>
    </w:p>
    <w:p>
      <w:pPr>
        <w:jc w:val="cente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2022年</w:t>
      </w:r>
      <w:r>
        <w:rPr>
          <w:rFonts w:hint="eastAsia" w:ascii="FangSong_GB2312" w:hAnsi="FangSong_GB2312" w:eastAsia="FangSong_GB2312" w:cs="FangSong_GB2312"/>
          <w:sz w:val="32"/>
          <w:szCs w:val="32"/>
          <w:lang w:val="en-US" w:eastAsia="zh-CN"/>
        </w:rPr>
        <w:t>11</w:t>
      </w:r>
      <w:r>
        <w:rPr>
          <w:rFonts w:hint="eastAsia" w:ascii="FangSong_GB2312" w:hAnsi="FangSong_GB2312" w:eastAsia="FangSong_GB2312" w:cs="FangSong_GB2312"/>
          <w:sz w:val="32"/>
          <w:szCs w:val="32"/>
        </w:rPr>
        <w:t>月1</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日</w:t>
      </w:r>
    </w:p>
    <w:p>
      <w:pPr>
        <w:rPr>
          <w:rFonts w:ascii="黑体" w:hAnsi="FangSong_GB2312" w:eastAsia="黑体" w:cs="FangSong_GB2312"/>
          <w:sz w:val="44"/>
          <w:szCs w:val="44"/>
        </w:rPr>
      </w:pPr>
    </w:p>
    <w:p>
      <w:pPr>
        <w:rPr>
          <w:rFonts w:ascii="黑体" w:hAnsi="FangSong_GB2312" w:eastAsia="黑体" w:cs="FangSong_GB2312"/>
          <w:sz w:val="44"/>
          <w:szCs w:val="44"/>
        </w:rPr>
      </w:pPr>
    </w:p>
    <w:p>
      <w:pPr>
        <w:rPr>
          <w:rFonts w:ascii="黑体" w:hAnsi="FangSong_GB2312" w:eastAsia="黑体" w:cs="FangSong_GB2312"/>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FangSong_GB2312" w:eastAsia="黑体" w:cs="FangSong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察隅县应急管理局概况</w:t>
      </w:r>
    </w:p>
    <w:p>
      <w:pPr>
        <w:spacing w:line="560" w:lineRule="exact"/>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一、部门职责</w:t>
      </w:r>
    </w:p>
    <w:p>
      <w:pPr>
        <w:spacing w:line="560" w:lineRule="exact"/>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察隅县应急管理局2021年度部门决算明细表 </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一、收入支出决算总表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二、收入决算总表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三、支出决算总表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四、财政拨款收入支出决算总表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五、一般公共预算财政拨款支出决算表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六、一般公共预算财政拨款基本支出决算表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七、一般公共预算财政拨款“三公”经费支出决算表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八、政府性基金预算财政拨款收入支出决算表</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察隅县应急管理局2021年度部门决算数据说明</w:t>
      </w:r>
    </w:p>
    <w:p>
      <w:pPr>
        <w:spacing w:line="560" w:lineRule="exact"/>
        <w:jc w:val="left"/>
        <w:rPr>
          <w:rFonts w:ascii="FangSong_GB2312" w:eastAsia="FangSong_GB2312"/>
          <w:sz w:val="32"/>
          <w:szCs w:val="32"/>
        </w:rPr>
      </w:pPr>
      <w:r>
        <w:rPr>
          <w:rFonts w:hint="eastAsia" w:ascii="FangSong_GB2312" w:eastAsia="FangSong_GB2312"/>
          <w:sz w:val="32"/>
          <w:szCs w:val="32"/>
        </w:rPr>
        <w:t>一、收入支出</w:t>
      </w:r>
      <w:r>
        <w:rPr>
          <w:rFonts w:hint="eastAsia" w:ascii="FangSong_GB2312" w:hAnsi="FangSong_GB2312" w:eastAsia="FangSong_GB2312" w:cs="FangSong_GB2312"/>
          <w:sz w:val="32"/>
          <w:szCs w:val="32"/>
        </w:rPr>
        <w:t>决算</w:t>
      </w:r>
      <w:r>
        <w:rPr>
          <w:rFonts w:hint="eastAsia" w:ascii="FangSong_GB2312" w:eastAsia="FangSong_GB2312"/>
          <w:sz w:val="32"/>
          <w:szCs w:val="32"/>
        </w:rPr>
        <w:t>总体情况说明</w:t>
      </w:r>
    </w:p>
    <w:p>
      <w:pPr>
        <w:spacing w:line="560" w:lineRule="exact"/>
        <w:jc w:val="left"/>
        <w:rPr>
          <w:rFonts w:ascii="FangSong_GB2312" w:eastAsia="FangSong_GB2312"/>
          <w:sz w:val="32"/>
          <w:szCs w:val="32"/>
        </w:rPr>
      </w:pPr>
      <w:r>
        <w:rPr>
          <w:rFonts w:hint="eastAsia" w:ascii="FangSong_GB2312" w:eastAsia="FangSong_GB2312"/>
          <w:sz w:val="32"/>
          <w:szCs w:val="32"/>
        </w:rPr>
        <w:t>二、收入</w:t>
      </w:r>
      <w:r>
        <w:rPr>
          <w:rFonts w:hint="eastAsia" w:ascii="FangSong_GB2312" w:hAnsi="FangSong_GB2312" w:eastAsia="FangSong_GB2312" w:cs="FangSong_GB2312"/>
          <w:sz w:val="32"/>
          <w:szCs w:val="32"/>
        </w:rPr>
        <w:t>决算</w:t>
      </w:r>
      <w:r>
        <w:rPr>
          <w:rFonts w:hint="eastAsia" w:ascii="FangSong_GB2312" w:eastAsia="FangSong_GB2312"/>
          <w:sz w:val="32"/>
          <w:szCs w:val="32"/>
        </w:rPr>
        <w:t>情况说明</w:t>
      </w:r>
    </w:p>
    <w:p>
      <w:pPr>
        <w:spacing w:line="560" w:lineRule="exact"/>
        <w:jc w:val="left"/>
        <w:rPr>
          <w:rFonts w:ascii="FangSong_GB2312" w:eastAsia="FangSong_GB2312"/>
          <w:sz w:val="32"/>
          <w:szCs w:val="32"/>
        </w:rPr>
      </w:pPr>
      <w:r>
        <w:rPr>
          <w:rFonts w:hint="eastAsia" w:ascii="FangSong_GB2312" w:eastAsia="FangSong_GB2312"/>
          <w:sz w:val="32"/>
          <w:szCs w:val="32"/>
        </w:rPr>
        <w:t>三、支出</w:t>
      </w:r>
      <w:r>
        <w:rPr>
          <w:rFonts w:hint="eastAsia" w:ascii="FangSong_GB2312" w:hAnsi="FangSong_GB2312" w:eastAsia="FangSong_GB2312" w:cs="FangSong_GB2312"/>
          <w:sz w:val="32"/>
          <w:szCs w:val="32"/>
        </w:rPr>
        <w:t>决算</w:t>
      </w:r>
      <w:r>
        <w:rPr>
          <w:rFonts w:hint="eastAsia" w:ascii="FangSong_GB2312" w:eastAsia="FangSong_GB2312"/>
          <w:sz w:val="32"/>
          <w:szCs w:val="32"/>
        </w:rPr>
        <w:t>情况说明</w:t>
      </w:r>
    </w:p>
    <w:p>
      <w:pPr>
        <w:spacing w:line="560" w:lineRule="exact"/>
        <w:jc w:val="left"/>
        <w:rPr>
          <w:rFonts w:ascii="FangSong_GB2312" w:eastAsia="FangSong_GB2312"/>
          <w:sz w:val="32"/>
          <w:szCs w:val="32"/>
        </w:rPr>
      </w:pPr>
      <w:r>
        <w:rPr>
          <w:rFonts w:hint="eastAsia" w:ascii="FangSong_GB2312" w:eastAsia="FangSong_GB2312"/>
          <w:sz w:val="32"/>
          <w:szCs w:val="32"/>
        </w:rPr>
        <w:t>四、财政拨款收入支出</w:t>
      </w:r>
      <w:r>
        <w:rPr>
          <w:rFonts w:hint="eastAsia" w:ascii="FangSong_GB2312" w:hAnsi="FangSong_GB2312" w:eastAsia="FangSong_GB2312" w:cs="FangSong_GB2312"/>
          <w:sz w:val="32"/>
          <w:szCs w:val="32"/>
        </w:rPr>
        <w:t>决算</w:t>
      </w:r>
      <w:r>
        <w:rPr>
          <w:rFonts w:hint="eastAsia" w:ascii="FangSong_GB2312" w:eastAsia="FangSong_GB2312"/>
          <w:sz w:val="32"/>
          <w:szCs w:val="32"/>
        </w:rPr>
        <w:t>总体情况说明</w:t>
      </w:r>
    </w:p>
    <w:p>
      <w:pPr>
        <w:spacing w:line="560" w:lineRule="exact"/>
        <w:jc w:val="left"/>
        <w:rPr>
          <w:rFonts w:ascii="FangSong_GB2312" w:eastAsia="FangSong_GB2312"/>
          <w:sz w:val="32"/>
          <w:szCs w:val="32"/>
        </w:rPr>
      </w:pPr>
      <w:r>
        <w:rPr>
          <w:rFonts w:hint="eastAsia" w:ascii="FangSong_GB2312" w:eastAsia="FangSong_GB2312"/>
          <w:sz w:val="32"/>
          <w:szCs w:val="32"/>
        </w:rPr>
        <w:t>五、一般公共预算财政拨款支出</w:t>
      </w:r>
      <w:r>
        <w:rPr>
          <w:rFonts w:hint="eastAsia" w:ascii="FangSong_GB2312" w:hAnsi="FangSong_GB2312" w:eastAsia="FangSong_GB2312" w:cs="FangSong_GB2312"/>
          <w:sz w:val="32"/>
          <w:szCs w:val="32"/>
        </w:rPr>
        <w:t>决算</w:t>
      </w:r>
      <w:r>
        <w:rPr>
          <w:rFonts w:hint="eastAsia" w:ascii="FangSong_GB2312" w:eastAsia="FangSong_GB2312"/>
          <w:sz w:val="32"/>
          <w:szCs w:val="32"/>
        </w:rPr>
        <w:t>情况说明</w:t>
      </w:r>
    </w:p>
    <w:p>
      <w:pPr>
        <w:spacing w:line="560" w:lineRule="exact"/>
        <w:jc w:val="left"/>
        <w:rPr>
          <w:rFonts w:ascii="FangSong_GB2312" w:eastAsia="FangSong_GB2312"/>
          <w:sz w:val="32"/>
          <w:szCs w:val="32"/>
        </w:rPr>
      </w:pPr>
      <w:r>
        <w:rPr>
          <w:rFonts w:hint="eastAsia" w:ascii="FangSong_GB2312" w:eastAsia="FangSong_GB2312"/>
          <w:sz w:val="32"/>
          <w:szCs w:val="32"/>
        </w:rPr>
        <w:t>六、一般公共预算财政拨款基本支出</w:t>
      </w:r>
      <w:r>
        <w:rPr>
          <w:rFonts w:hint="eastAsia" w:ascii="FangSong_GB2312" w:hAnsi="FangSong_GB2312" w:eastAsia="FangSong_GB2312" w:cs="FangSong_GB2312"/>
          <w:sz w:val="32"/>
          <w:szCs w:val="32"/>
        </w:rPr>
        <w:t>决算</w:t>
      </w:r>
      <w:r>
        <w:rPr>
          <w:rFonts w:hint="eastAsia" w:ascii="FangSong_GB2312" w:eastAsia="FangSong_GB2312"/>
          <w:sz w:val="32"/>
          <w:szCs w:val="32"/>
        </w:rPr>
        <w:t>情况说明</w:t>
      </w:r>
    </w:p>
    <w:p>
      <w:pPr>
        <w:spacing w:line="560" w:lineRule="exact"/>
        <w:jc w:val="left"/>
        <w:rPr>
          <w:rFonts w:ascii="FangSong_GB2312" w:eastAsia="FangSong_GB2312"/>
          <w:sz w:val="32"/>
          <w:szCs w:val="32"/>
        </w:rPr>
      </w:pPr>
      <w:r>
        <w:rPr>
          <w:rFonts w:hint="eastAsia" w:ascii="FangSong_GB2312" w:eastAsia="FangSong_GB2312"/>
          <w:sz w:val="32"/>
          <w:szCs w:val="32"/>
        </w:rPr>
        <w:t>七、一般公共预算财政拨款“三公”经费支出</w:t>
      </w:r>
      <w:r>
        <w:rPr>
          <w:rFonts w:hint="eastAsia" w:ascii="FangSong_GB2312" w:hAnsi="FangSong_GB2312" w:eastAsia="FangSong_GB2312" w:cs="FangSong_GB2312"/>
          <w:sz w:val="32"/>
          <w:szCs w:val="32"/>
        </w:rPr>
        <w:t>决算</w:t>
      </w:r>
      <w:r>
        <w:rPr>
          <w:rFonts w:hint="eastAsia" w:ascii="FangSong_GB2312" w:eastAsia="FangSong_GB2312"/>
          <w:sz w:val="32"/>
          <w:szCs w:val="32"/>
        </w:rPr>
        <w:t>情况说明</w:t>
      </w:r>
    </w:p>
    <w:p>
      <w:pPr>
        <w:pStyle w:val="8"/>
        <w:spacing w:line="560" w:lineRule="exact"/>
        <w:ind w:firstLine="0" w:firstLineChars="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八、政府性基金预算财政拨款收入支出决算情况说明</w:t>
      </w:r>
    </w:p>
    <w:p>
      <w:pPr>
        <w:spacing w:line="560" w:lineRule="exact"/>
        <w:jc w:val="left"/>
        <w:rPr>
          <w:rFonts w:ascii="FangSong_GB2312" w:eastAsia="FangSong_GB2312"/>
          <w:sz w:val="32"/>
          <w:szCs w:val="32"/>
        </w:rPr>
      </w:pPr>
      <w:r>
        <w:rPr>
          <w:rFonts w:hint="eastAsia" w:ascii="FangSong_GB2312" w:hAnsi="FangSong_GB2312" w:eastAsia="FangSong_GB2312" w:cs="FangSong_GB2312"/>
          <w:sz w:val="32"/>
          <w:szCs w:val="32"/>
        </w:rPr>
        <w:t>九、国有资本经营预算财政拨款支出决算情况说明</w:t>
      </w:r>
      <w:r>
        <w:rPr>
          <w:rFonts w:hint="eastAsia" w:ascii="FangSong_GB2312" w:hAnsi="FangSong_GB2312" w:eastAsia="FangSong_GB2312" w:cs="FangSong_GB2312"/>
          <w:sz w:val="32"/>
          <w:szCs w:val="32"/>
        </w:rPr>
        <w:br w:type="textWrapping"/>
      </w:r>
      <w:r>
        <w:rPr>
          <w:rFonts w:hint="eastAsia" w:ascii="FangSong_GB2312" w:eastAsia="FangSong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FangSong_GB2312" w:hAnsi="黑体" w:eastAsia="FangSong_GB2312" w:cs="黑体"/>
          <w:bCs/>
          <w:snapToGrid w:val="0"/>
          <w:w w:val="95"/>
          <w:sz w:val="32"/>
          <w:szCs w:val="32"/>
        </w:rPr>
      </w:pPr>
      <w:r>
        <w:rPr>
          <w:rFonts w:hint="eastAsia" w:ascii="FangSong_GB2312" w:hAnsi="黑体" w:eastAsia="FangSong_GB2312" w:cs="黑体"/>
          <w:bCs/>
          <w:snapToGrid w:val="0"/>
          <w:w w:val="95"/>
          <w:sz w:val="32"/>
          <w:szCs w:val="32"/>
        </w:rPr>
        <w:t>附件：</w:t>
      </w:r>
    </w:p>
    <w:p>
      <w:pPr>
        <w:widowControl/>
        <w:numPr>
          <w:ilvl w:val="0"/>
          <w:numId w:val="1"/>
        </w:numPr>
        <w:adjustRightInd w:val="0"/>
        <w:snapToGrid w:val="0"/>
        <w:spacing w:line="560" w:lineRule="exact"/>
        <w:rPr>
          <w:rFonts w:ascii="FangSong_GB2312" w:hAnsi="FangSong_GB2312" w:eastAsia="FangSong_GB2312" w:cs="FangSong_GB2312"/>
          <w:snapToGrid w:val="0"/>
          <w:w w:val="95"/>
          <w:sz w:val="32"/>
          <w:szCs w:val="32"/>
        </w:rPr>
      </w:pPr>
      <w:r>
        <w:rPr>
          <w:rFonts w:hint="eastAsia" w:ascii="FangSong_GB2312" w:hAnsi="FangSong_GB2312" w:eastAsia="FangSong_GB2312" w:cs="FangSong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察隅县应急管理局概况</w:t>
      </w:r>
    </w:p>
    <w:p>
      <w:pPr>
        <w:rPr>
          <w:rFonts w:ascii="黑体" w:hAnsi="FangSong_GB2312" w:eastAsia="黑体" w:cs="FangSong_GB2312"/>
          <w:bCs/>
          <w:sz w:val="32"/>
          <w:szCs w:val="32"/>
        </w:rPr>
      </w:pPr>
    </w:p>
    <w:p>
      <w:pPr>
        <w:widowControl/>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1.负责应急管理工作，指导各乡（镇）、各部门应对安全生产类、自然灾害类等突发事件和综合防灾减灾救灾工作</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color w:val="000000"/>
          <w:sz w:val="32"/>
          <w:szCs w:val="32"/>
        </w:rPr>
        <w:t>负责安全生产综合监督管理和工矿商贸行业安全生产监督管理工作。</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color w:val="000000"/>
          <w:sz w:val="32"/>
          <w:szCs w:val="32"/>
        </w:rPr>
        <w:t>2.拟订应急管理、安全生产政策，组织编制县应急体系建设、安全生产和综合防灾减灾规划，</w:t>
      </w:r>
      <w:r>
        <w:rPr>
          <w:rFonts w:hint="eastAsia" w:ascii="FangSong_GB2312" w:hAnsi="FangSong_GB2312" w:eastAsia="FangSong_GB2312" w:cs="FangSong_GB2312"/>
          <w:sz w:val="32"/>
          <w:szCs w:val="32"/>
        </w:rPr>
        <w:t>贯彻执行相关地方性和政府规章草案，监督实施有关规程和标准。</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3.指导应急预案体系建设，执行事故灾难和自然灾害分级应对制度，组织编制县总体应急预案和安全生产类、自然灾害类专项预案，综合协调应急预案衔接工作，组织开展预案演练，推动应急避难设施建设。</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4.牵头建立统一的应急管理信息系统，负责信息传输渠道的规划和布局，建立监测预警和灾情报告制度，健全自然灾害信息资源获取和共享机制，依法统一发布灾情。</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5.组织指导协调安全生产类、自然灾害类等突发事件应急救援，承担县应对重大灾害指挥部工作，建立重大灾害和突发事件的报告制度，综合研判突发事件发展态势并提出应对建议，协助县委、政府指定的负责同志组织重大灾害应急处置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6.统一协调指挥各类应急专业队伍，建立应急协调联动机制，推进指挥平台对接，衔接解放军和武警部队参与应急救援工作。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7.统筹应急救援力量建设，负责消防、森林和草原火灾扑救、抗洪抢险、地震和地质灾害救援、生产安全事故救援等专业应急救援力量建设，管理综合性应急救援队伍，指导乡（镇）及社会应急救援力量建设。</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8.负责消防工作，指导乡（镇）消防监督、火灾预防、火灾扑救等工作。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9.指导协调森林和草原火灾、水旱灾害、地震和地质灾害等防治工作，负责自然灾害综合监测预警工作，指导开展自然灾害综合风险评估工作。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10.组织协调灾害救助工作，组织指导开展灾情核查、损失评估、救灾捐赠工作，管理、分配救灾款物并监督使用。</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11.依法行使县安全生产综合监督管理职权，指导协调、监督检查各乡（镇）、各部门安全生产工作，组织开展安全生产</w:t>
      </w:r>
      <w:r>
        <w:rPr>
          <w:rFonts w:hint="eastAsia" w:ascii="FangSong_GB2312" w:hAnsi="FangSong_GB2312" w:eastAsia="FangSong_GB2312" w:cs="FangSong_GB2312"/>
          <w:sz w:val="32"/>
          <w:szCs w:val="32"/>
        </w:rPr>
        <w:t>督查、考核</w:t>
      </w:r>
      <w:r>
        <w:rPr>
          <w:rFonts w:hint="eastAsia" w:ascii="FangSong_GB2312" w:hAnsi="FangSong_GB2312" w:eastAsia="FangSong_GB2312" w:cs="FangSong_GB2312"/>
          <w:color w:val="000000"/>
          <w:sz w:val="32"/>
          <w:szCs w:val="32"/>
        </w:rPr>
        <w:t>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12.</w:t>
      </w:r>
      <w:r>
        <w:rPr>
          <w:rFonts w:hint="eastAsia" w:ascii="FangSong_GB2312" w:hAnsi="FangSong_GB2312" w:eastAsia="FangSong_GB2312" w:cs="FangSong_GB2312"/>
          <w:sz w:val="32"/>
          <w:szCs w:val="32"/>
        </w:rPr>
        <w:t>按照属地原则，依法监督检查工矿商贸生产经营单位贯彻执行安全生产法律法规情况及其安全生产条件和有关设备（特种设备除外）、材料、劳动防护用品的安全生产管理工作；</w:t>
      </w:r>
      <w:r>
        <w:rPr>
          <w:rFonts w:hint="eastAsia" w:ascii="FangSong_GB2312" w:hAnsi="FangSong_GB2312" w:eastAsia="FangSong_GB2312" w:cs="FangSong_GB2312"/>
          <w:color w:val="000000"/>
          <w:sz w:val="32"/>
          <w:szCs w:val="32"/>
        </w:rPr>
        <w:t>负责监督管理工矿商贸行业企业安全生产工作</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color w:val="000000"/>
          <w:sz w:val="32"/>
          <w:szCs w:val="32"/>
        </w:rPr>
        <w:t>依法组织并指导监督实施安全生产准入制度</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color w:val="000000"/>
          <w:sz w:val="32"/>
          <w:szCs w:val="32"/>
        </w:rPr>
        <w:t>负责危险化学品安全监督管理综合工作和烟花爆竹安全生产监督管理工作。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13.依法组织指导生产安全事故调查处理，监督事故查处和责任追究落实情</w:t>
      </w:r>
      <w:r>
        <w:rPr>
          <w:rFonts w:hint="eastAsia" w:ascii="FangSong_GB2312" w:hAnsi="FangSong_GB2312" w:eastAsia="FangSong_GB2312" w:cs="FangSong_GB2312"/>
          <w:sz w:val="32"/>
          <w:szCs w:val="32"/>
        </w:rPr>
        <w:t>况；</w:t>
      </w:r>
      <w:r>
        <w:rPr>
          <w:rFonts w:hint="eastAsia" w:ascii="FangSong_GB2312" w:hAnsi="FangSong_GB2312" w:eastAsia="FangSong_GB2312" w:cs="FangSong_GB2312"/>
          <w:color w:val="000000"/>
          <w:sz w:val="32"/>
          <w:szCs w:val="32"/>
        </w:rPr>
        <w:t>组织开展自然灾害类突发事件的调查评估工作。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14.开展应急管理方面的对外交流与合作，组织参与安全生产类、自然灾害类等突发事件的县外救援工作。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15.制定应急物资储备和应急救援装备规划并组织实施，会同县粮食和物资储备局等部门建立健全应急物资信息平台和调拨制度，在救灾时统一调度。</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16.负责应急管理、安全生产宣传教育和培训工作，组织指导应急管理、安全生产的科学技术研究、推广应用和信息化建设工作。</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17.完成县委、政府交办的其他任务。</w:t>
      </w:r>
    </w:p>
    <w:p>
      <w:pPr>
        <w:widowControl/>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二、机构设置  </w:t>
      </w:r>
    </w:p>
    <w:p>
      <w:pPr>
        <w:spacing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察隅县县应急管理局无内设机构。</w:t>
      </w:r>
    </w:p>
    <w:p>
      <w:pPr>
        <w:rPr>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察隅县应急管理局2021年度部门决算明细表（详见附表）</w:t>
      </w:r>
    </w:p>
    <w:p>
      <w:pPr>
        <w:spacing w:line="560" w:lineRule="exact"/>
        <w:jc w:val="center"/>
        <w:rPr>
          <w:rFonts w:ascii="黑体" w:hAnsi="FangSong_GB2312" w:eastAsia="黑体" w:cs="FangSong_GB2312"/>
          <w:sz w:val="32"/>
          <w:szCs w:val="32"/>
        </w:rPr>
      </w:pPr>
    </w:p>
    <w:p>
      <w:pPr>
        <w:pStyle w:val="8"/>
        <w:spacing w:line="560" w:lineRule="exact"/>
        <w:ind w:left="2200"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察隅县应急管理局2021年度部门决算情况说明</w:t>
      </w:r>
    </w:p>
    <w:p>
      <w:pPr>
        <w:ind w:firstLine="482" w:firstLineChars="150"/>
        <w:jc w:val="left"/>
        <w:rPr>
          <w:rFonts w:ascii="FangSong_GB2312" w:eastAsia="FangSong_GB2312"/>
          <w:b/>
          <w:sz w:val="32"/>
          <w:szCs w:val="32"/>
        </w:rPr>
      </w:pPr>
    </w:p>
    <w:p>
      <w:pPr>
        <w:spacing w:line="560" w:lineRule="exact"/>
        <w:ind w:firstLine="643" w:firstLineChars="200"/>
        <w:jc w:val="left"/>
        <w:rPr>
          <w:rFonts w:ascii="FangSong_GB2312" w:eastAsia="FangSong_GB2312"/>
          <w:b/>
          <w:sz w:val="32"/>
          <w:szCs w:val="32"/>
        </w:rPr>
      </w:pPr>
      <w:r>
        <w:rPr>
          <w:rFonts w:hint="eastAsia" w:ascii="FangSong_GB2312" w:eastAsia="FangSong_GB2312"/>
          <w:b/>
          <w:sz w:val="32"/>
          <w:szCs w:val="32"/>
        </w:rPr>
        <w:t>一、收入支出决算总体情况说明</w:t>
      </w:r>
    </w:p>
    <w:p>
      <w:pPr>
        <w:spacing w:line="560" w:lineRule="exact"/>
        <w:ind w:firstLine="640" w:firstLineChars="200"/>
        <w:rPr>
          <w:rFonts w:ascii="宋体" w:hAnsi="宋体" w:eastAsia="宋体" w:cs="Arial"/>
          <w:color w:val="000000"/>
          <w:kern w:val="0"/>
          <w:sz w:val="22"/>
          <w:highlight w:val="yellow"/>
        </w:rPr>
      </w:pPr>
      <w:r>
        <w:rPr>
          <w:rFonts w:hint="eastAsia" w:ascii="FangSong_GB2312" w:eastAsia="FangSong_GB2312"/>
          <w:sz w:val="32"/>
          <w:szCs w:val="32"/>
        </w:rPr>
        <w:t>2021年度收支决算总规模为825.71万元，比上年增长67.91%，主要原因为2021年年初结转结余资金和县级存量资金收入较2020年增加，如：新增应急保障经费项目、灾害普查经费、应急指挥工作经费和安全生产检查经费。</w:t>
      </w:r>
    </w:p>
    <w:p>
      <w:pPr>
        <w:spacing w:line="560" w:lineRule="exact"/>
        <w:ind w:firstLine="643" w:firstLineChars="200"/>
        <w:jc w:val="left"/>
        <w:rPr>
          <w:rFonts w:ascii="FangSong_GB2312" w:eastAsia="FangSong_GB2312"/>
          <w:b/>
          <w:sz w:val="32"/>
          <w:szCs w:val="32"/>
        </w:rPr>
      </w:pPr>
      <w:r>
        <w:rPr>
          <w:rFonts w:hint="eastAsia" w:ascii="FangSong_GB2312" w:eastAsia="FangSong_GB2312"/>
          <w:b/>
          <w:sz w:val="32"/>
          <w:szCs w:val="32"/>
        </w:rPr>
        <w:t>二、收入决算情况说明</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2021年度总收入决算为781.24万元，主要包括财政拨款收入671.24万元，占总收入85.92%；其他收入110.00万</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元，占总收入14.08%。总收入比上年增加308.83万元，同比增长65.37%，主要原因为新增应急保障经费项目、灾害普查经费、应急指挥工作经费和安全生产检查经费。</w:t>
      </w:r>
    </w:p>
    <w:p>
      <w:pPr>
        <w:spacing w:line="560" w:lineRule="exact"/>
        <w:ind w:firstLine="643" w:firstLineChars="200"/>
        <w:rPr>
          <w:rFonts w:ascii="FangSong_GB2312" w:eastAsia="FangSong_GB2312"/>
          <w:b/>
          <w:sz w:val="32"/>
          <w:szCs w:val="32"/>
        </w:rPr>
      </w:pPr>
      <w:r>
        <w:rPr>
          <w:rFonts w:hint="eastAsia" w:ascii="FangSong_GB2312" w:eastAsia="FangSong_GB2312"/>
          <w:b/>
          <w:sz w:val="32"/>
          <w:szCs w:val="32"/>
        </w:rPr>
        <w:t>三、支出决算情况说明</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2021年度总支出决算为825.71万元，主要包括基本支出340.31万元，占总支出41.21%；项目支出485.40万元，占总支出58.79%。总支出比上年增加378.91万元，同比增长84.81%，主要原因为新增应急保障经费项目、灾害普查经费、应急指挥工作经费和安全生产检查经费。</w:t>
      </w:r>
    </w:p>
    <w:p>
      <w:pPr>
        <w:spacing w:line="560" w:lineRule="exact"/>
        <w:ind w:firstLine="643" w:firstLineChars="200"/>
        <w:jc w:val="left"/>
        <w:rPr>
          <w:rFonts w:ascii="FangSong_GB2312" w:eastAsia="FangSong_GB2312"/>
          <w:b/>
          <w:sz w:val="32"/>
          <w:szCs w:val="32"/>
        </w:rPr>
      </w:pPr>
      <w:r>
        <w:rPr>
          <w:rFonts w:hint="eastAsia" w:ascii="FangSong_GB2312" w:eastAsia="FangSong_GB2312"/>
          <w:b/>
          <w:sz w:val="32"/>
          <w:szCs w:val="32"/>
        </w:rPr>
        <w:t>四、一般公共预算财政拨款收入支出决算总体情况说明</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2021年度一般公共预算财政拨款总收入决算为715.38万元，比上年增加250.11万元，同比增长53.76%，主要原因为新增应急保障经费项目、灾害普查经费、应急指挥工作经费和安全生产检查经费。</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2021年度一般公共预算财政拨款总支出决算为715.38万元，比上年增加294.72万元，同比增长70.06%，主要原因为新增应急保障经费项目、灾害普查经费、应急指挥工作经费和安全生产检查经费。</w:t>
      </w:r>
    </w:p>
    <w:p>
      <w:pPr>
        <w:spacing w:line="560" w:lineRule="exact"/>
        <w:ind w:firstLine="643" w:firstLineChars="200"/>
        <w:jc w:val="left"/>
        <w:rPr>
          <w:rFonts w:ascii="FangSong_GB2312" w:eastAsia="FangSong_GB2312"/>
          <w:b/>
          <w:sz w:val="32"/>
          <w:szCs w:val="32"/>
        </w:rPr>
      </w:pPr>
      <w:r>
        <w:rPr>
          <w:rFonts w:hint="eastAsia" w:ascii="FangSong_GB2312" w:eastAsia="FangSong_GB2312"/>
          <w:b/>
          <w:sz w:val="32"/>
          <w:szCs w:val="32"/>
        </w:rPr>
        <w:t>五、一般公共预算财政拨款支出决算情况说明</w:t>
      </w:r>
    </w:p>
    <w:p>
      <w:pPr>
        <w:spacing w:line="560" w:lineRule="exact"/>
        <w:ind w:firstLine="640" w:firstLineChars="200"/>
        <w:rPr>
          <w:rFonts w:ascii="FangSong_GB2312" w:eastAsia="FangSong_GB2312"/>
          <w:sz w:val="32"/>
          <w:szCs w:val="32"/>
        </w:rPr>
      </w:pPr>
      <w:r>
        <w:rPr>
          <w:rFonts w:hint="eastAsia" w:ascii="FangSong_GB2312" w:eastAsia="FangSong_GB2312"/>
          <w:kern w:val="0"/>
          <w:sz w:val="32"/>
          <w:szCs w:val="32"/>
        </w:rPr>
        <w:t>2021年度一般公共预算财政拨款支出</w:t>
      </w:r>
      <w:r>
        <w:rPr>
          <w:rFonts w:hint="eastAsia" w:ascii="FangSong_GB2312" w:eastAsia="FangSong_GB2312"/>
          <w:sz w:val="32"/>
          <w:szCs w:val="32"/>
        </w:rPr>
        <w:t>决算为715.38万元，比上年增加294.72万元，同比增长70.06%，主要原因为新增应急保障经费项目、灾害普查经费、应急指挥工作经费和安全生产检查经费。</w:t>
      </w:r>
      <w:r>
        <w:rPr>
          <w:rFonts w:hint="eastAsia" w:ascii="FangSong_GB2312" w:eastAsia="FangSong_GB2312"/>
          <w:sz w:val="32"/>
          <w:szCs w:val="32"/>
          <w:highlight w:val="none"/>
        </w:rPr>
        <w:t>比年初预算减少20.92万元,增长3.01%，主要原因为灾普办项目增加。</w:t>
      </w:r>
      <w:r>
        <w:rPr>
          <w:rFonts w:hint="eastAsia" w:ascii="FangSong_GB2312" w:eastAsia="FangSong_GB2312"/>
          <w:sz w:val="32"/>
          <w:szCs w:val="32"/>
        </w:rPr>
        <w:t>其中：基本支出340.31万元，占总支出47.57%；项目支出375.08万元，占总支出52.43%。</w:t>
      </w:r>
    </w:p>
    <w:p>
      <w:pPr>
        <w:spacing w:line="560" w:lineRule="exact"/>
        <w:ind w:firstLine="643" w:firstLineChars="200"/>
        <w:jc w:val="left"/>
        <w:rPr>
          <w:rFonts w:ascii="FangSong_GB2312" w:eastAsia="FangSong_GB2312"/>
          <w:b/>
          <w:sz w:val="32"/>
          <w:szCs w:val="32"/>
        </w:rPr>
      </w:pPr>
      <w:r>
        <w:rPr>
          <w:rFonts w:hint="eastAsia" w:ascii="FangSong_GB2312" w:eastAsia="FangSong_GB2312"/>
          <w:b/>
          <w:sz w:val="32"/>
          <w:szCs w:val="32"/>
        </w:rPr>
        <w:t>六、一般公共预算财政拨款基本支出决算情况说明</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2021年度一般公共预算财政拨款基本支出决算为340.31万元，比上年增加226.69万元，同比增长119.52%。主要原因为2021年应急管理局预算资金中含消防大队辅警和文员工资福利支出。</w:t>
      </w:r>
      <w:r>
        <w:rPr>
          <w:rFonts w:hint="eastAsia" w:ascii="FangSong_GB2312" w:eastAsia="FangSong_GB2312"/>
          <w:sz w:val="32"/>
          <w:szCs w:val="32"/>
          <w:highlight w:val="none"/>
        </w:rPr>
        <w:t>比年初预算减少154.98万元,降低31.29%，主要原因为人员经费支出减少。其</w:t>
      </w:r>
      <w:r>
        <w:rPr>
          <w:rFonts w:hint="eastAsia" w:ascii="FangSong_GB2312" w:eastAsia="FangSong_GB2312"/>
          <w:sz w:val="32"/>
          <w:szCs w:val="32"/>
        </w:rPr>
        <w:t>中：</w:t>
      </w:r>
      <w:r>
        <w:rPr>
          <w:rFonts w:hint="eastAsia" w:ascii="FangSong_GB2312" w:eastAsia="FangSong_GB2312"/>
          <w:b/>
          <w:sz w:val="32"/>
          <w:szCs w:val="32"/>
        </w:rPr>
        <w:t>人员经费</w:t>
      </w:r>
      <w:r>
        <w:rPr>
          <w:rFonts w:hint="eastAsia" w:ascii="FangSong_GB2312" w:eastAsia="FangSong_GB2312"/>
          <w:b/>
          <w:bCs/>
          <w:sz w:val="32"/>
          <w:szCs w:val="32"/>
        </w:rPr>
        <w:t>支出</w:t>
      </w:r>
      <w:r>
        <w:rPr>
          <w:rFonts w:hint="eastAsia" w:ascii="FangSong_GB2312" w:eastAsia="FangSong_GB2312"/>
          <w:sz w:val="32"/>
          <w:szCs w:val="32"/>
        </w:rPr>
        <w:t>合计243.58万元，占总支出的71.58%，主要包括工资福利支出支出和对个人和家庭的补助支出。</w:t>
      </w:r>
      <w:r>
        <w:rPr>
          <w:rFonts w:hint="eastAsia" w:ascii="FangSong_GB2312" w:eastAsia="FangSong_GB2312"/>
          <w:b/>
          <w:sz w:val="32"/>
          <w:szCs w:val="32"/>
        </w:rPr>
        <w:t>公用经费支出</w:t>
      </w:r>
      <w:r>
        <w:rPr>
          <w:rFonts w:hint="eastAsia" w:ascii="FangSong_GB2312" w:eastAsia="FangSong_GB2312"/>
          <w:sz w:val="32"/>
          <w:szCs w:val="32"/>
        </w:rPr>
        <w:t>合计196.73万元，占总支出28.42%，主要包括商品服务支出和资本性支出等。</w:t>
      </w:r>
    </w:p>
    <w:p>
      <w:pPr>
        <w:spacing w:line="560" w:lineRule="exact"/>
        <w:ind w:firstLine="643" w:firstLineChars="200"/>
        <w:jc w:val="left"/>
        <w:rPr>
          <w:rFonts w:ascii="FangSong_GB2312" w:eastAsia="FangSong_GB2312"/>
          <w:b/>
          <w:sz w:val="32"/>
          <w:szCs w:val="32"/>
        </w:rPr>
      </w:pPr>
      <w:r>
        <w:rPr>
          <w:rFonts w:hint="eastAsia" w:ascii="FangSong_GB2312" w:eastAsia="FangSong_GB2312"/>
          <w:b/>
          <w:sz w:val="32"/>
          <w:szCs w:val="32"/>
        </w:rPr>
        <w:t>七、一般公共预算财政拨款“三公”经费支出决算情况说明</w:t>
      </w:r>
    </w:p>
    <w:p>
      <w:pPr>
        <w:widowControl/>
        <w:adjustRightInd w:val="0"/>
        <w:snapToGrid w:val="0"/>
        <w:spacing w:line="560" w:lineRule="exact"/>
        <w:ind w:firstLine="608" w:firstLineChars="200"/>
        <w:rPr>
          <w:rFonts w:ascii="FangSong_GB2312" w:hAnsi="FangSong_GB2312" w:eastAsia="FangSong_GB2312" w:cs="FangSong_GB2312"/>
          <w:snapToGrid w:val="0"/>
          <w:w w:val="95"/>
          <w:sz w:val="32"/>
          <w:szCs w:val="32"/>
        </w:rPr>
      </w:pPr>
      <w:r>
        <w:rPr>
          <w:rFonts w:hint="eastAsia" w:ascii="FangSong_GB2312" w:hAnsi="FangSong_GB2312" w:eastAsia="FangSong_GB2312" w:cs="FangSong_GB2312"/>
          <w:snapToGrid w:val="0"/>
          <w:w w:val="95"/>
          <w:sz w:val="32"/>
          <w:szCs w:val="32"/>
        </w:rPr>
        <w:t>2021年度一般公共预算财政拨款“三公”经费总支出6.04万元，比上年增加2.55万元，同比增长73.07%</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snapToGrid w:val="0"/>
          <w:w w:val="95"/>
          <w:sz w:val="32"/>
          <w:szCs w:val="32"/>
        </w:rPr>
        <w:t>比年初预算数增加3.58万元，增长145%</w:t>
      </w:r>
      <w:r>
        <w:rPr>
          <w:rFonts w:hint="eastAsia" w:ascii="FangSong_GB2312" w:hAnsi="FangSong_GB2312" w:eastAsia="FangSong_GB2312" w:cs="FangSong_GB2312"/>
          <w:sz w:val="32"/>
          <w:szCs w:val="32"/>
        </w:rPr>
        <w:t>。其中：</w:t>
      </w:r>
    </w:p>
    <w:p>
      <w:pPr>
        <w:widowControl/>
        <w:adjustRightInd w:val="0"/>
        <w:snapToGrid w:val="0"/>
        <w:spacing w:line="560" w:lineRule="exact"/>
        <w:ind w:firstLine="608" w:firstLineChars="200"/>
        <w:rPr>
          <w:rFonts w:ascii="FangSong_GB2312" w:hAnsi="FangSong_GB2312" w:eastAsia="FangSong_GB2312" w:cs="FangSong_GB2312"/>
          <w:snapToGrid w:val="0"/>
          <w:w w:val="95"/>
          <w:sz w:val="32"/>
          <w:szCs w:val="32"/>
        </w:rPr>
      </w:pPr>
      <w:r>
        <w:rPr>
          <w:rFonts w:hint="eastAsia" w:ascii="KaiTi_GB2312" w:hAnsi="KaiTi_GB2312" w:eastAsia="KaiTi_GB2312" w:cs="KaiTi_GB2312"/>
          <w:snapToGrid w:val="0"/>
          <w:w w:val="95"/>
          <w:sz w:val="32"/>
          <w:szCs w:val="32"/>
        </w:rPr>
        <w:t>（1）因公出国（境）费用。</w:t>
      </w:r>
      <w:r>
        <w:rPr>
          <w:rFonts w:hint="eastAsia" w:ascii="FangSong_GB2312" w:hAnsi="FangSong_GB2312" w:eastAsia="FangSong_GB2312" w:cs="FangSong_GB2312"/>
          <w:snapToGrid w:val="0"/>
          <w:w w:val="95"/>
          <w:sz w:val="32"/>
          <w:szCs w:val="32"/>
        </w:rPr>
        <w:t>因公出国（镜）0团组数0人数，与上年持平。为进一步规范因公出国（境）费用管理，我县因公出国（境）费用按照零基预算原则，因此因公出国（境）费用支出为0万元。</w:t>
      </w:r>
    </w:p>
    <w:p>
      <w:pPr>
        <w:widowControl/>
        <w:adjustRightInd w:val="0"/>
        <w:snapToGrid w:val="0"/>
        <w:spacing w:line="560" w:lineRule="exact"/>
        <w:ind w:firstLine="608" w:firstLineChars="200"/>
        <w:rPr>
          <w:rFonts w:ascii="FangSong_GB2312" w:hAnsi="FangSong_GB2312" w:eastAsia="FangSong_GB2312" w:cs="FangSong_GB2312"/>
          <w:snapToGrid w:val="0"/>
          <w:w w:val="95"/>
          <w:sz w:val="32"/>
          <w:szCs w:val="32"/>
        </w:rPr>
      </w:pPr>
      <w:r>
        <w:rPr>
          <w:rFonts w:hint="eastAsia" w:ascii="KaiTi_GB2312" w:hAnsi="KaiTi_GB2312" w:eastAsia="KaiTi_GB2312" w:cs="KaiTi_GB2312"/>
          <w:snapToGrid w:val="0"/>
          <w:w w:val="95"/>
          <w:sz w:val="32"/>
          <w:szCs w:val="32"/>
        </w:rPr>
        <w:t>（2）公务用车购置及运行费</w:t>
      </w:r>
      <w:r>
        <w:rPr>
          <w:rFonts w:hint="eastAsia" w:ascii="FangSong_GB2312" w:hAnsi="FangSong_GB2312" w:eastAsia="FangSong_GB2312" w:cs="FangSong_GB2312"/>
          <w:snapToGrid w:val="0"/>
          <w:w w:val="95"/>
          <w:sz w:val="32"/>
          <w:szCs w:val="32"/>
        </w:rPr>
        <w:t>。2021年度支出6.04万元，其中：</w:t>
      </w:r>
    </w:p>
    <w:p>
      <w:pPr>
        <w:widowControl/>
        <w:adjustRightInd w:val="0"/>
        <w:snapToGrid w:val="0"/>
        <w:spacing w:line="560" w:lineRule="exact"/>
        <w:ind w:firstLine="608" w:firstLineChars="200"/>
        <w:rPr>
          <w:rFonts w:ascii="FangSong_GB2312" w:hAnsi="FangSong_GB2312" w:eastAsia="FangSong_GB2312" w:cs="FangSong_GB2312"/>
          <w:snapToGrid w:val="0"/>
          <w:w w:val="95"/>
          <w:sz w:val="32"/>
          <w:szCs w:val="32"/>
        </w:rPr>
      </w:pPr>
      <w:r>
        <w:rPr>
          <w:rFonts w:hint="eastAsia" w:ascii="FangSong_GB2312" w:hAnsi="FangSong_GB2312" w:eastAsia="FangSong_GB2312" w:cs="FangSong_GB2312"/>
          <w:snapToGrid w:val="0"/>
          <w:w w:val="95"/>
          <w:sz w:val="32"/>
          <w:szCs w:val="32"/>
        </w:rPr>
        <w:t>1.公务用车购置费。公务用车购置数为0，保有量为1辆，与上年持平，与预算数持平。公务用车购置严格按照我县车辆管理及厉行节约有关要求实行总额控制。</w:t>
      </w:r>
    </w:p>
    <w:p>
      <w:pPr>
        <w:widowControl/>
        <w:adjustRightInd w:val="0"/>
        <w:snapToGrid w:val="0"/>
        <w:spacing w:line="560" w:lineRule="exact"/>
        <w:ind w:firstLine="608" w:firstLineChars="200"/>
        <w:rPr>
          <w:rFonts w:ascii="FangSong_GB2312" w:hAnsi="FangSong_GB2312" w:eastAsia="FangSong_GB2312" w:cs="FangSong_GB2312"/>
          <w:snapToGrid w:val="0"/>
          <w:w w:val="95"/>
          <w:sz w:val="32"/>
          <w:szCs w:val="32"/>
        </w:rPr>
      </w:pPr>
      <w:r>
        <w:rPr>
          <w:rFonts w:hint="eastAsia" w:ascii="FangSong_GB2312" w:hAnsi="FangSong_GB2312" w:eastAsia="FangSong_GB2312" w:cs="FangSong_GB2312"/>
          <w:snapToGrid w:val="0"/>
          <w:w w:val="95"/>
          <w:sz w:val="32"/>
          <w:szCs w:val="32"/>
        </w:rPr>
        <w:t>2.公务用车运行费。2021年度支出6.04万元，比</w:t>
      </w:r>
      <w:r>
        <w:rPr>
          <w:rFonts w:hint="eastAsia" w:ascii="FangSong_GB2312" w:hAnsi="FangSong_GB2312" w:eastAsia="FangSong_GB2312" w:cs="FangSong_GB2312"/>
          <w:sz w:val="32"/>
          <w:szCs w:val="32"/>
        </w:rPr>
        <w:t>上年增长2.55万元，同比增长73.07%，</w:t>
      </w:r>
      <w:r>
        <w:rPr>
          <w:rFonts w:hint="eastAsia" w:ascii="FangSong_GB2312" w:hAnsi="FangSong_GB2312" w:eastAsia="FangSong_GB2312" w:cs="FangSong_GB2312"/>
          <w:snapToGrid w:val="0"/>
          <w:w w:val="95"/>
          <w:sz w:val="32"/>
          <w:szCs w:val="32"/>
        </w:rPr>
        <w:t>比年初预算数增加4.6万元，</w:t>
      </w:r>
      <w:r>
        <w:rPr>
          <w:rFonts w:hint="eastAsia" w:ascii="FangSong_GB2312" w:hAnsi="FangSong_GB2312" w:eastAsia="FangSong_GB2312" w:cs="FangSong_GB2312"/>
          <w:sz w:val="32"/>
          <w:szCs w:val="32"/>
        </w:rPr>
        <w:t>增长319%。主要原因为单位公车发生故障，产生一次维修维护费支出</w:t>
      </w:r>
      <w:r>
        <w:rPr>
          <w:rFonts w:hint="eastAsia" w:ascii="FangSong_GB2312" w:hAnsi="FangSong_GB2312" w:eastAsia="FangSong_GB2312" w:cs="FangSong_GB2312"/>
          <w:snapToGrid w:val="0"/>
          <w:w w:val="95"/>
          <w:sz w:val="32"/>
          <w:szCs w:val="32"/>
        </w:rPr>
        <w:t>。</w:t>
      </w:r>
    </w:p>
    <w:p>
      <w:pPr>
        <w:widowControl/>
        <w:adjustRightInd w:val="0"/>
        <w:snapToGrid w:val="0"/>
        <w:spacing w:line="560" w:lineRule="exact"/>
        <w:ind w:firstLine="608" w:firstLineChars="200"/>
        <w:rPr>
          <w:rFonts w:ascii="FangSong_GB2312" w:hAnsi="FangSong_GB2312" w:eastAsia="FangSong_GB2312" w:cs="FangSong_GB2312"/>
          <w:snapToGrid w:val="0"/>
          <w:w w:val="95"/>
          <w:sz w:val="32"/>
          <w:szCs w:val="32"/>
        </w:rPr>
      </w:pPr>
      <w:r>
        <w:rPr>
          <w:rFonts w:hint="eastAsia" w:ascii="KaiTi_GB2312" w:hAnsi="KaiTi_GB2312" w:eastAsia="KaiTi_GB2312" w:cs="KaiTi_GB2312"/>
          <w:snapToGrid w:val="0"/>
          <w:w w:val="95"/>
          <w:sz w:val="32"/>
          <w:szCs w:val="32"/>
        </w:rPr>
        <w:t>（3）公务接待费。</w:t>
      </w:r>
      <w:r>
        <w:rPr>
          <w:rFonts w:hint="eastAsia" w:ascii="FangSong_GB2312" w:hAnsi="FangSong_GB2312" w:eastAsia="FangSong_GB2312" w:cs="FangSong_GB2312"/>
          <w:snapToGrid w:val="0"/>
          <w:w w:val="95"/>
          <w:sz w:val="32"/>
          <w:szCs w:val="32"/>
        </w:rPr>
        <w:t>2021年度支出0万元，公务接待0批次，0人次。比年初预算减少1.02万元，降低100%。主要原因为我单位按照公务接待相关要求，厉行勤俭节约严格控制不必要的公务接待费支出。</w:t>
      </w:r>
    </w:p>
    <w:p>
      <w:pPr>
        <w:pStyle w:val="8"/>
        <w:spacing w:line="560" w:lineRule="exact"/>
        <w:ind w:firstLine="643"/>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八、政府性基金预算财政拨款收入支出决算情况说明</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2021年度政府性基金预算财政拨款收入0万元，</w:t>
      </w:r>
      <w:r>
        <w:rPr>
          <w:rFonts w:hint="eastAsia" w:ascii="FangSong_GB2312" w:hAnsi="FangSong_GB2312" w:eastAsia="FangSong_GB2312" w:cs="FangSong_GB2312"/>
          <w:snapToGrid w:val="0"/>
          <w:w w:val="95"/>
          <w:sz w:val="32"/>
          <w:szCs w:val="32"/>
        </w:rPr>
        <w:t>与上年持平，与预算数持平</w:t>
      </w:r>
      <w:r>
        <w:rPr>
          <w:rFonts w:hint="eastAsia" w:ascii="FangSong_GB2312" w:hAnsi="FangSong_GB2312" w:eastAsia="FangSong_GB2312" w:cs="FangSong_GB2312"/>
          <w:sz w:val="32"/>
          <w:szCs w:val="32"/>
        </w:rPr>
        <w:t>。</w:t>
      </w:r>
    </w:p>
    <w:p>
      <w:pPr>
        <w:numPr>
          <w:ilvl w:val="0"/>
          <w:numId w:val="3"/>
        </w:numPr>
        <w:spacing w:line="560" w:lineRule="exact"/>
        <w:ind w:left="638" w:leftChars="304"/>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国有资本经营预算财政拨款支出决算情况说明</w:t>
      </w:r>
    </w:p>
    <w:p>
      <w:pPr>
        <w:spacing w:line="560" w:lineRule="exact"/>
        <w:ind w:firstLine="640" w:firstLineChars="200"/>
        <w:rPr>
          <w:rFonts w:ascii="FangSong_GB2312" w:hAnsi="FangSong_GB2312" w:eastAsia="FangSong_GB2312" w:cs="FangSong_GB2312"/>
          <w:b/>
          <w:bCs/>
          <w:sz w:val="32"/>
          <w:szCs w:val="32"/>
        </w:rPr>
      </w:pPr>
      <w:r>
        <w:rPr>
          <w:rFonts w:hint="eastAsia" w:ascii="FangSong_GB2312" w:hAnsi="FangSong_GB2312" w:eastAsia="FangSong_GB2312" w:cs="FangSong_GB2312"/>
          <w:sz w:val="32"/>
          <w:szCs w:val="32"/>
        </w:rPr>
        <w:t>2021年度国有资本经营预算财政拨款支出为0万元，</w:t>
      </w:r>
      <w:r>
        <w:rPr>
          <w:rFonts w:hint="eastAsia" w:ascii="FangSong_GB2312" w:hAnsi="FangSong_GB2312" w:eastAsia="FangSong_GB2312" w:cs="FangSong_GB2312"/>
          <w:snapToGrid w:val="0"/>
          <w:w w:val="95"/>
          <w:sz w:val="32"/>
          <w:szCs w:val="32"/>
        </w:rPr>
        <w:t>与上年持平，与预算数持平。</w:t>
      </w:r>
    </w:p>
    <w:p>
      <w:pPr>
        <w:spacing w:line="560" w:lineRule="exact"/>
        <w:ind w:firstLine="643" w:firstLineChars="200"/>
        <w:jc w:val="left"/>
        <w:rPr>
          <w:rFonts w:ascii="FangSong_GB2312" w:hAnsi="FangSong_GB2312" w:eastAsia="FangSong_GB2312" w:cs="FangSong_GB2312"/>
          <w:snapToGrid w:val="0"/>
          <w:w w:val="95"/>
          <w:sz w:val="32"/>
          <w:szCs w:val="32"/>
        </w:rPr>
      </w:pPr>
      <w:r>
        <w:rPr>
          <w:rFonts w:hint="eastAsia" w:ascii="FangSong_GB2312" w:eastAsia="FangSong_GB2312"/>
          <w:b/>
          <w:bCs/>
          <w:sz w:val="32"/>
          <w:szCs w:val="32"/>
        </w:rPr>
        <w:t>十、其他重要事项情况说明</w:t>
      </w:r>
    </w:p>
    <w:p>
      <w:pPr>
        <w:spacing w:line="560" w:lineRule="exact"/>
        <w:ind w:firstLine="480" w:firstLineChars="150"/>
        <w:rPr>
          <w:rFonts w:ascii="FangSong_GB2312" w:eastAsia="FangSong_GB2312"/>
          <w:sz w:val="32"/>
          <w:szCs w:val="32"/>
        </w:rPr>
      </w:pPr>
      <w:r>
        <w:rPr>
          <w:rFonts w:hint="eastAsia" w:ascii="KaiTi_GB2312" w:hAnsi="KaiTi_GB2312" w:eastAsia="KaiTi_GB2312" w:cs="KaiTi_GB2312"/>
          <w:sz w:val="32"/>
          <w:szCs w:val="32"/>
        </w:rPr>
        <w:t>（一）机关运行经费执行情况说明。</w:t>
      </w:r>
      <w:r>
        <w:rPr>
          <w:rFonts w:hint="eastAsia" w:ascii="FangSong_GB2312" w:eastAsia="FangSong_GB2312"/>
          <w:sz w:val="32"/>
          <w:szCs w:val="32"/>
        </w:rPr>
        <w:t>2021年度机关运行经费支出96.73万元，比上年增长</w:t>
      </w:r>
      <w:r>
        <w:rPr>
          <w:rFonts w:hint="eastAsia" w:ascii="FangSong_GB2312" w:hAnsi="FangSong_GB2312" w:eastAsia="FangSong_GB2312" w:cs="FangSong_GB2312"/>
          <w:sz w:val="32"/>
          <w:szCs w:val="32"/>
        </w:rPr>
        <w:t>84.40</w:t>
      </w:r>
      <w:r>
        <w:rPr>
          <w:rFonts w:hint="eastAsia" w:ascii="FangSong_GB2312" w:eastAsia="FangSong_GB2312"/>
          <w:sz w:val="32"/>
          <w:szCs w:val="32"/>
        </w:rPr>
        <w:t>万元，同比增长684.51%。主要原因为2021年应急管理局预算中含消防大队预算资金，如：新增2021年消防大队支付新队站营区附属设施建设项目和消防大队阳光棚建设项目等基础设施费用支出。</w:t>
      </w:r>
    </w:p>
    <w:p>
      <w:pPr>
        <w:spacing w:line="560" w:lineRule="exact"/>
        <w:ind w:firstLine="640" w:firstLineChars="200"/>
        <w:jc w:val="left"/>
        <w:rPr>
          <w:rFonts w:ascii="KaiTi_GB2312" w:hAnsi="KaiTi_GB2312" w:eastAsia="FangSong_GB2312" w:cs="KaiTi_GB2312"/>
          <w:sz w:val="32"/>
          <w:szCs w:val="32"/>
        </w:rPr>
      </w:pPr>
      <w:r>
        <w:rPr>
          <w:rFonts w:hint="eastAsia" w:ascii="KaiTi_GB2312" w:hAnsi="KaiTi_GB2312" w:eastAsia="KaiTi_GB2312" w:cs="KaiTi_GB2312"/>
          <w:sz w:val="32"/>
          <w:szCs w:val="32"/>
        </w:rPr>
        <w:t>（二）政府采购支出情况说明。</w:t>
      </w:r>
      <w:r>
        <w:rPr>
          <w:rFonts w:hint="eastAsia" w:ascii="FangSong_GB2312" w:eastAsia="FangSong_GB2312"/>
          <w:sz w:val="32"/>
          <w:szCs w:val="32"/>
        </w:rPr>
        <w:t>2021年度政府采购支出0万元，其中：政府采购货物支出0万元，政府采购工程支出0万元，政府采购服务支出0万元。</w:t>
      </w:r>
    </w:p>
    <w:p>
      <w:pPr>
        <w:widowControl/>
        <w:adjustRightInd w:val="0"/>
        <w:snapToGrid w:val="0"/>
        <w:spacing w:line="560" w:lineRule="exact"/>
        <w:ind w:firstLine="640" w:firstLineChars="200"/>
        <w:rPr>
          <w:rFonts w:ascii="FangSong_GB2312" w:hAnsi="FangSong_GB2312" w:eastAsia="FangSong_GB2312" w:cs="FangSong_GB2312"/>
          <w:sz w:val="32"/>
          <w:szCs w:val="32"/>
        </w:rPr>
      </w:pPr>
      <w:r>
        <w:rPr>
          <w:rFonts w:hint="eastAsia" w:ascii="KaiTi_GB2312" w:hAnsi="KaiTi_GB2312" w:eastAsia="KaiTi_GB2312" w:cs="KaiTi_GB2312"/>
          <w:sz w:val="32"/>
          <w:szCs w:val="32"/>
        </w:rPr>
        <w:t>（三）国有资产占用情况说明。</w:t>
      </w:r>
      <w:r>
        <w:rPr>
          <w:rFonts w:hint="eastAsia" w:ascii="FangSong_GB2312" w:hAnsi="FangSong_GB2312" w:eastAsia="FangSong_GB2312" w:cs="FangSong_GB2312"/>
          <w:sz w:val="32"/>
          <w:szCs w:val="32"/>
        </w:rPr>
        <w:t>截至2021年12月31日，本部门共有车辆</w:t>
      </w:r>
      <w:r>
        <w:rPr>
          <w:rFonts w:hint="eastAsia" w:ascii="FangSong_GB2312" w:hAnsi="FangSong_GB2312" w:eastAsia="FangSong_GB2312" w:cs="FangSong_GB2312"/>
          <w:kern w:val="0"/>
          <w:sz w:val="32"/>
          <w:szCs w:val="32"/>
        </w:rPr>
        <w:t>1</w:t>
      </w:r>
      <w:r>
        <w:rPr>
          <w:rFonts w:hint="eastAsia" w:ascii="FangSong_GB2312" w:hAnsi="FangSong_GB2312" w:eastAsia="FangSong_GB2312" w:cs="FangSong_GB2312"/>
          <w:sz w:val="32"/>
          <w:szCs w:val="32"/>
        </w:rPr>
        <w:t>辆，其中：一般公务用车1辆、机要通信用车0辆、应急保障用车0辆、执法执勤用车0辆、其他用车0辆、单价50万元（含）以上的通用设备0台（套）、单价100万元（含）以上的专用设备0台（套）。</w:t>
      </w:r>
    </w:p>
    <w:p>
      <w:pPr>
        <w:spacing w:line="560" w:lineRule="exact"/>
        <w:ind w:firstLine="640" w:firstLineChars="200"/>
        <w:jc w:val="left"/>
        <w:rPr>
          <w:rFonts w:ascii="KaiTi_GB2312" w:hAnsi="KaiTi_GB2312" w:eastAsia="KaiTi_GB2312" w:cs="KaiTi_GB2312"/>
          <w:sz w:val="32"/>
          <w:szCs w:val="32"/>
        </w:rPr>
      </w:pPr>
      <w:r>
        <w:rPr>
          <w:rFonts w:hint="eastAsia" w:ascii="KaiTi_GB2312" w:hAnsi="KaiTi_GB2312" w:eastAsia="KaiTi_GB2312" w:cs="KaiTi_GB2312"/>
          <w:sz w:val="32"/>
          <w:szCs w:val="32"/>
        </w:rPr>
        <w:t>（四）重点绩效评价结果等预算绩效情况说明。</w:t>
      </w:r>
    </w:p>
    <w:p>
      <w:pPr>
        <w:spacing w:line="560" w:lineRule="exact"/>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根据预算绩效管理要求，察隅县应急管理局已按要求编制整体支出绩效目标，并围绕政策落实、年度计划实施、重点工作任务和重大项目开展以及资金管理使用等情况，开展整体支出绩效自评。</w:t>
      </w:r>
      <w:bookmarkStart w:id="0" w:name="_GoBack"/>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详见附件</w:t>
      </w: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rPr>
        <w:t>）</w:t>
      </w:r>
      <w:bookmarkEnd w:id="0"/>
    </w:p>
    <w:p>
      <w:pPr>
        <w:spacing w:line="560" w:lineRule="exact"/>
        <w:ind w:firstLine="640" w:firstLineChars="200"/>
        <w:jc w:val="left"/>
        <w:rPr>
          <w:rFonts w:ascii="KaiTi_GB2312" w:hAnsi="KaiTi_GB2312" w:eastAsia="KaiTi_GB2312" w:cs="KaiTi_GB2312"/>
          <w:bCs/>
          <w:sz w:val="32"/>
          <w:szCs w:val="32"/>
        </w:rPr>
      </w:pPr>
      <w:r>
        <w:rPr>
          <w:rFonts w:hint="eastAsia" w:ascii="KaiTi_GB2312" w:hAnsi="KaiTi_GB2312" w:eastAsia="KaiTi_GB2312" w:cs="KaiTi_GB2312"/>
          <w:bCs/>
          <w:sz w:val="32"/>
          <w:szCs w:val="32"/>
        </w:rPr>
        <w:t>（五）重点、重大项目信息说明。</w:t>
      </w:r>
    </w:p>
    <w:p>
      <w:pPr>
        <w:spacing w:line="560" w:lineRule="exact"/>
        <w:ind w:firstLine="640" w:firstLineChars="200"/>
        <w:jc w:val="left"/>
        <w:rPr>
          <w:rFonts w:ascii="FangSong_GB2312" w:eastAsia="FangSong_GB2312"/>
          <w:sz w:val="32"/>
          <w:szCs w:val="32"/>
        </w:rPr>
      </w:pPr>
      <w:r>
        <w:rPr>
          <w:rFonts w:hint="eastAsia" w:ascii="FangSong_GB2312" w:eastAsia="FangSong_GB2312"/>
          <w:sz w:val="32"/>
          <w:szCs w:val="32"/>
        </w:rPr>
        <w:t>2021年度察隅县应急管理局无重点、重大项目信息。</w:t>
      </w:r>
    </w:p>
    <w:p>
      <w:pPr>
        <w:ind w:firstLine="640" w:firstLineChars="200"/>
        <w:jc w:val="left"/>
        <w:rPr>
          <w:rFonts w:ascii="FangSong_GB2312" w:eastAsia="FangSong_GB2312"/>
          <w:sz w:val="32"/>
          <w:szCs w:val="32"/>
        </w:rPr>
      </w:pP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560" w:lineRule="atLeast"/>
        <w:ind w:firstLine="630" w:firstLineChars="196"/>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一、财政拨款收入：</w:t>
      </w:r>
      <w:r>
        <w:rPr>
          <w:rFonts w:hint="eastAsia" w:ascii="FangSong_GB2312" w:hAnsi="FangSong_GB2312" w:eastAsia="FangSong_GB2312" w:cs="FangSong_GB2312"/>
          <w:sz w:val="32"/>
          <w:szCs w:val="32"/>
        </w:rPr>
        <w:t>指财政当年拨付的资金。</w:t>
      </w:r>
    </w:p>
    <w:p>
      <w:pPr>
        <w:spacing w:line="560" w:lineRule="atLeast"/>
        <w:ind w:firstLine="630" w:firstLineChars="196"/>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二、其他收入：</w:t>
      </w:r>
      <w:r>
        <w:rPr>
          <w:rFonts w:hint="eastAsia" w:ascii="FangSong_GB2312" w:hAnsi="FangSong_GB2312" w:eastAsia="FangSong_GB2312" w:cs="FangSong_GB2312"/>
          <w:bCs/>
          <w:sz w:val="32"/>
          <w:szCs w:val="32"/>
        </w:rPr>
        <w:t>指预算单位在“财政拨款收入”、“事业收入”、“经营收入”之外取得的收入。主要是按规定使用的上级财政补助经费和历年政府采购结转经费。</w:t>
      </w:r>
    </w:p>
    <w:p>
      <w:pPr>
        <w:spacing w:line="560" w:lineRule="atLeast"/>
        <w:ind w:firstLine="630" w:firstLineChars="196"/>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三、一般公共服务支出：</w:t>
      </w:r>
      <w:r>
        <w:rPr>
          <w:rFonts w:hint="eastAsia" w:ascii="FangSong_GB2312" w:hAnsi="FangSong_GB2312" w:eastAsia="FangSong_GB2312" w:cs="FangSong_GB2312"/>
          <w:sz w:val="32"/>
          <w:szCs w:val="32"/>
        </w:rPr>
        <w:t>反应政府提供一般公共服务的支出。</w:t>
      </w:r>
    </w:p>
    <w:p>
      <w:pPr>
        <w:spacing w:line="560" w:lineRule="atLeast"/>
        <w:ind w:firstLine="630" w:firstLineChars="196"/>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四、行政运行：</w:t>
      </w:r>
      <w:r>
        <w:rPr>
          <w:rFonts w:hint="eastAsia" w:ascii="FangSong_GB2312" w:hAnsi="FangSong_GB2312" w:eastAsia="FangSong_GB2312" w:cs="FangSong_GB2312"/>
          <w:sz w:val="32"/>
          <w:szCs w:val="32"/>
        </w:rPr>
        <w:t>指用于保障完成日常工作任务而发生的基本支出。</w:t>
      </w:r>
    </w:p>
    <w:p>
      <w:pPr>
        <w:spacing w:line="560" w:lineRule="atLeast"/>
        <w:ind w:firstLine="630" w:firstLineChars="196"/>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五、住房保障支出：</w:t>
      </w:r>
      <w:r>
        <w:rPr>
          <w:rFonts w:hint="eastAsia" w:ascii="FangSong_GB2312" w:hAnsi="FangSong_GB2312" w:eastAsia="FangSong_GB2312" w:cs="FangSong_GB2312"/>
          <w:sz w:val="32"/>
          <w:szCs w:val="32"/>
        </w:rPr>
        <w:t>指按照国家政策规定用于住房方面的支出。</w:t>
      </w:r>
    </w:p>
    <w:p>
      <w:pPr>
        <w:spacing w:line="560" w:lineRule="atLeas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六、基本支出：</w:t>
      </w:r>
      <w:r>
        <w:rPr>
          <w:rFonts w:hint="eastAsia" w:ascii="FangSong_GB2312" w:hAnsi="FangSong_GB2312" w:eastAsia="FangSong_GB2312" w:cs="FangSong_GB2312"/>
          <w:sz w:val="32"/>
          <w:szCs w:val="32"/>
        </w:rPr>
        <w:t>指为保障机构正常运转，完成日常工作任务而发生的人员支出（包括基本工资、津贴补贴等）和公用支出（包括办公费、邮电费、差旅费及印刷费等）。</w:t>
      </w:r>
    </w:p>
    <w:p>
      <w:pPr>
        <w:spacing w:line="560" w:lineRule="atLeas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七、项目支出，</w:t>
      </w:r>
      <w:r>
        <w:rPr>
          <w:rFonts w:hint="eastAsia" w:ascii="FangSong_GB2312" w:hAnsi="FangSong_GB2312" w:eastAsia="FangSong_GB2312" w:cs="FangSong_GB2312"/>
          <w:sz w:val="32"/>
          <w:szCs w:val="32"/>
        </w:rPr>
        <w:t>指在基本支出之外为完成特定行政任务和事业发展目标所发生的支出。</w:t>
      </w:r>
    </w:p>
    <w:p>
      <w:pPr>
        <w:spacing w:line="560" w:lineRule="atLeas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八、年末结转和结余：</w:t>
      </w:r>
      <w:r>
        <w:rPr>
          <w:rFonts w:hint="eastAsia" w:ascii="FangSong_GB2312" w:hAnsi="FangSong_GB2312" w:eastAsia="FangSong_GB2312" w:cs="FangSong_GB2312"/>
          <w:sz w:val="32"/>
          <w:szCs w:val="32"/>
        </w:rPr>
        <w:t>指本年度或以前年度预算安排，因客观条件发生变化无法按原计划实施，需要延迟到以后年度按有关规定继续使用的资金。</w:t>
      </w:r>
    </w:p>
    <w:p>
      <w:pPr>
        <w:spacing w:line="560" w:lineRule="atLeas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sz w:val="32"/>
          <w:szCs w:val="32"/>
        </w:rPr>
        <w:t>九、</w:t>
      </w:r>
      <w:r>
        <w:rPr>
          <w:rFonts w:ascii="FangSong_GB2312" w:hAnsi="FangSong_GB2312" w:eastAsia="FangSong_GB2312" w:cs="FangSong_GB2312"/>
          <w:b/>
          <w:sz w:val="32"/>
          <w:szCs w:val="32"/>
        </w:rPr>
        <w:t>“</w:t>
      </w:r>
      <w:r>
        <w:rPr>
          <w:rFonts w:hint="eastAsia" w:ascii="FangSong_GB2312" w:hAnsi="FangSong_GB2312" w:eastAsia="FangSong_GB2312" w:cs="FangSong_GB2312"/>
          <w:b/>
          <w:sz w:val="32"/>
          <w:szCs w:val="32"/>
        </w:rPr>
        <w:t>三公</w:t>
      </w:r>
      <w:r>
        <w:rPr>
          <w:rFonts w:ascii="FangSong_GB2312" w:hAnsi="FangSong_GB2312" w:eastAsia="FangSong_GB2312" w:cs="FangSong_GB2312"/>
          <w:b/>
          <w:sz w:val="32"/>
          <w:szCs w:val="32"/>
        </w:rPr>
        <w:t>”</w:t>
      </w:r>
      <w:r>
        <w:rPr>
          <w:rFonts w:hint="eastAsia" w:ascii="FangSong_GB2312" w:hAnsi="FangSong_GB2312" w:eastAsia="FangSong_GB2312" w:cs="FangSong_GB2312"/>
          <w:b/>
          <w:sz w:val="32"/>
          <w:szCs w:val="32"/>
        </w:rPr>
        <w:t>经费：</w:t>
      </w:r>
      <w:r>
        <w:rPr>
          <w:rFonts w:hint="eastAsia" w:ascii="FangSong_GB2312" w:hAnsi="FangSong_GB2312" w:eastAsia="FangSong_GB2312" w:cs="FangSong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atLeast"/>
        <w:ind w:firstLine="630" w:firstLineChars="196"/>
        <w:rPr>
          <w:rFonts w:ascii="黑体" w:eastAsia="黑体"/>
          <w:sz w:val="32"/>
          <w:szCs w:val="32"/>
        </w:rPr>
      </w:pPr>
      <w:r>
        <w:rPr>
          <w:rFonts w:hint="eastAsia" w:ascii="FangSong_GB2312" w:hAnsi="FangSong_GB2312" w:eastAsia="FangSong_GB2312" w:cs="FangSong_GB2312"/>
          <w:b/>
          <w:sz w:val="32"/>
          <w:szCs w:val="32"/>
        </w:rPr>
        <w:t>十、机关运行经费，</w:t>
      </w:r>
      <w:r>
        <w:rPr>
          <w:rFonts w:hint="eastAsia" w:ascii="FangSong_GB2312" w:hAnsi="FangSong_GB2312" w:eastAsia="FangSong_GB2312" w:cs="FangSong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FangSong_GB2312" w:hAnsi="FangSong_GB2312" w:eastAsia="FangSong_GB2312" w:cs="FangSong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- 10 -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06349"/>
    <w:multiLevelType w:val="singleLevel"/>
    <w:tmpl w:val="E7606349"/>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26D"/>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0634"/>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2D4D"/>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067E"/>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C159D6"/>
    <w:rsid w:val="02D72CED"/>
    <w:rsid w:val="037E5F1D"/>
    <w:rsid w:val="03DA0031"/>
    <w:rsid w:val="03EC44F3"/>
    <w:rsid w:val="03FD70A9"/>
    <w:rsid w:val="043B2C3A"/>
    <w:rsid w:val="04815BD5"/>
    <w:rsid w:val="05097677"/>
    <w:rsid w:val="060825F0"/>
    <w:rsid w:val="063E3381"/>
    <w:rsid w:val="0643722A"/>
    <w:rsid w:val="065E21CA"/>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4C13CB"/>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AC5F4E"/>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7C681B"/>
    <w:rsid w:val="13D7782C"/>
    <w:rsid w:val="13E9383C"/>
    <w:rsid w:val="1469705C"/>
    <w:rsid w:val="147B37BF"/>
    <w:rsid w:val="14EF7838"/>
    <w:rsid w:val="14F77C11"/>
    <w:rsid w:val="150A2FBC"/>
    <w:rsid w:val="15131DF0"/>
    <w:rsid w:val="151C638B"/>
    <w:rsid w:val="15226909"/>
    <w:rsid w:val="15274957"/>
    <w:rsid w:val="154F5D4D"/>
    <w:rsid w:val="1594320F"/>
    <w:rsid w:val="15EC5170"/>
    <w:rsid w:val="162A797C"/>
    <w:rsid w:val="16393AEE"/>
    <w:rsid w:val="165C1EC5"/>
    <w:rsid w:val="16F35772"/>
    <w:rsid w:val="17B7334E"/>
    <w:rsid w:val="17CD2403"/>
    <w:rsid w:val="17CE7E68"/>
    <w:rsid w:val="17E937AE"/>
    <w:rsid w:val="181D48C4"/>
    <w:rsid w:val="18255DD6"/>
    <w:rsid w:val="185B13AE"/>
    <w:rsid w:val="188C0ABD"/>
    <w:rsid w:val="189207D3"/>
    <w:rsid w:val="18EB15EF"/>
    <w:rsid w:val="19234752"/>
    <w:rsid w:val="192B0B9A"/>
    <w:rsid w:val="192E320B"/>
    <w:rsid w:val="197856BC"/>
    <w:rsid w:val="19AA096B"/>
    <w:rsid w:val="19DC3CF4"/>
    <w:rsid w:val="1A6105B6"/>
    <w:rsid w:val="1A707545"/>
    <w:rsid w:val="1A7B0FF9"/>
    <w:rsid w:val="1ACE64AB"/>
    <w:rsid w:val="1AEC2C50"/>
    <w:rsid w:val="1AFC0F5A"/>
    <w:rsid w:val="1B057A41"/>
    <w:rsid w:val="1B367D8E"/>
    <w:rsid w:val="1B647C89"/>
    <w:rsid w:val="1B7109B6"/>
    <w:rsid w:val="1C0D3A85"/>
    <w:rsid w:val="1C93612C"/>
    <w:rsid w:val="1CAE2196"/>
    <w:rsid w:val="1D323688"/>
    <w:rsid w:val="1DCE5AB6"/>
    <w:rsid w:val="1DEB67E3"/>
    <w:rsid w:val="1DF65BA3"/>
    <w:rsid w:val="1E8C2CD6"/>
    <w:rsid w:val="1EC46953"/>
    <w:rsid w:val="1F352739"/>
    <w:rsid w:val="1F404C92"/>
    <w:rsid w:val="1F4A2C87"/>
    <w:rsid w:val="1F732CC3"/>
    <w:rsid w:val="1FDC3875"/>
    <w:rsid w:val="1FF64AF5"/>
    <w:rsid w:val="20060581"/>
    <w:rsid w:val="201D4D0E"/>
    <w:rsid w:val="20287F47"/>
    <w:rsid w:val="20615153"/>
    <w:rsid w:val="20784604"/>
    <w:rsid w:val="209A2193"/>
    <w:rsid w:val="20A27992"/>
    <w:rsid w:val="20AD33C0"/>
    <w:rsid w:val="20B014F7"/>
    <w:rsid w:val="20B047F8"/>
    <w:rsid w:val="20BB13C9"/>
    <w:rsid w:val="21344B4B"/>
    <w:rsid w:val="21357098"/>
    <w:rsid w:val="21B17A58"/>
    <w:rsid w:val="21B3797C"/>
    <w:rsid w:val="21DD2940"/>
    <w:rsid w:val="21DF1099"/>
    <w:rsid w:val="22264BFB"/>
    <w:rsid w:val="228D60F6"/>
    <w:rsid w:val="22933B81"/>
    <w:rsid w:val="23021452"/>
    <w:rsid w:val="23105FD7"/>
    <w:rsid w:val="232F0410"/>
    <w:rsid w:val="233A7A0A"/>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8D7E8D"/>
    <w:rsid w:val="26046103"/>
    <w:rsid w:val="261F69B7"/>
    <w:rsid w:val="26742A9A"/>
    <w:rsid w:val="2781225B"/>
    <w:rsid w:val="27F90679"/>
    <w:rsid w:val="281618C5"/>
    <w:rsid w:val="28247C87"/>
    <w:rsid w:val="28376E94"/>
    <w:rsid w:val="285828E5"/>
    <w:rsid w:val="28653502"/>
    <w:rsid w:val="287309F7"/>
    <w:rsid w:val="28746B4A"/>
    <w:rsid w:val="28CA0FE2"/>
    <w:rsid w:val="28D36E04"/>
    <w:rsid w:val="291558A3"/>
    <w:rsid w:val="29487BC6"/>
    <w:rsid w:val="29551ED8"/>
    <w:rsid w:val="29831A2D"/>
    <w:rsid w:val="298C2759"/>
    <w:rsid w:val="29A7505E"/>
    <w:rsid w:val="29FA6023"/>
    <w:rsid w:val="2A337514"/>
    <w:rsid w:val="2A753821"/>
    <w:rsid w:val="2A9F5C2C"/>
    <w:rsid w:val="2AD26647"/>
    <w:rsid w:val="2AED2707"/>
    <w:rsid w:val="2B082A6F"/>
    <w:rsid w:val="2B220DAD"/>
    <w:rsid w:val="2B4F3BB5"/>
    <w:rsid w:val="2B5D54E7"/>
    <w:rsid w:val="2B5E29B1"/>
    <w:rsid w:val="2C2529BD"/>
    <w:rsid w:val="2C82694E"/>
    <w:rsid w:val="2D01320C"/>
    <w:rsid w:val="2D1D3B30"/>
    <w:rsid w:val="2D21246F"/>
    <w:rsid w:val="2D3A646F"/>
    <w:rsid w:val="2D5B7474"/>
    <w:rsid w:val="2D7B6A45"/>
    <w:rsid w:val="2DA83E89"/>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4F2C0E"/>
    <w:rsid w:val="307F76B3"/>
    <w:rsid w:val="30B85EDF"/>
    <w:rsid w:val="30CD00BB"/>
    <w:rsid w:val="30E273D5"/>
    <w:rsid w:val="311F1E9F"/>
    <w:rsid w:val="31871F90"/>
    <w:rsid w:val="31A3609D"/>
    <w:rsid w:val="31F8192B"/>
    <w:rsid w:val="32114431"/>
    <w:rsid w:val="322D2CB4"/>
    <w:rsid w:val="32933866"/>
    <w:rsid w:val="32D108F1"/>
    <w:rsid w:val="332B020C"/>
    <w:rsid w:val="33A73A6E"/>
    <w:rsid w:val="33A91A06"/>
    <w:rsid w:val="33AF0DB3"/>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B6C71"/>
    <w:rsid w:val="35C25411"/>
    <w:rsid w:val="35D25DC6"/>
    <w:rsid w:val="35ED61F6"/>
    <w:rsid w:val="36137A13"/>
    <w:rsid w:val="368E7BB6"/>
    <w:rsid w:val="36A92B44"/>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362899"/>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960FD8"/>
    <w:rsid w:val="43D50FEC"/>
    <w:rsid w:val="43D910F0"/>
    <w:rsid w:val="43F62BC1"/>
    <w:rsid w:val="449C66AF"/>
    <w:rsid w:val="44C96627"/>
    <w:rsid w:val="44CB088F"/>
    <w:rsid w:val="44F57E99"/>
    <w:rsid w:val="45065B38"/>
    <w:rsid w:val="45150771"/>
    <w:rsid w:val="454476BE"/>
    <w:rsid w:val="454756A0"/>
    <w:rsid w:val="45847093"/>
    <w:rsid w:val="45B97A14"/>
    <w:rsid w:val="461B7A3A"/>
    <w:rsid w:val="4653609C"/>
    <w:rsid w:val="46CC256C"/>
    <w:rsid w:val="46E36A7D"/>
    <w:rsid w:val="47045DC3"/>
    <w:rsid w:val="473923D5"/>
    <w:rsid w:val="47514501"/>
    <w:rsid w:val="477D0A2F"/>
    <w:rsid w:val="47A82FFD"/>
    <w:rsid w:val="47B701F5"/>
    <w:rsid w:val="47CA3E58"/>
    <w:rsid w:val="47EB56E1"/>
    <w:rsid w:val="4849005D"/>
    <w:rsid w:val="48545ACA"/>
    <w:rsid w:val="48654977"/>
    <w:rsid w:val="488C6E75"/>
    <w:rsid w:val="48C321F4"/>
    <w:rsid w:val="48D151DA"/>
    <w:rsid w:val="48DE5B50"/>
    <w:rsid w:val="48FF0DFE"/>
    <w:rsid w:val="49AD72D9"/>
    <w:rsid w:val="49BF2265"/>
    <w:rsid w:val="49CA4591"/>
    <w:rsid w:val="4A7D48B5"/>
    <w:rsid w:val="4AE2074A"/>
    <w:rsid w:val="4AE35FAB"/>
    <w:rsid w:val="4B044DB0"/>
    <w:rsid w:val="4B120480"/>
    <w:rsid w:val="4BC67011"/>
    <w:rsid w:val="4C2131E6"/>
    <w:rsid w:val="4C2E7F1D"/>
    <w:rsid w:val="4C705516"/>
    <w:rsid w:val="4C7B3A6C"/>
    <w:rsid w:val="4C8009A3"/>
    <w:rsid w:val="4CA5688D"/>
    <w:rsid w:val="4D0647E6"/>
    <w:rsid w:val="4D3D6ABF"/>
    <w:rsid w:val="4D5B71EC"/>
    <w:rsid w:val="4D616033"/>
    <w:rsid w:val="4D895B83"/>
    <w:rsid w:val="4DC14920"/>
    <w:rsid w:val="4E111275"/>
    <w:rsid w:val="4E2D74E1"/>
    <w:rsid w:val="4E824F9D"/>
    <w:rsid w:val="4EDD08E9"/>
    <w:rsid w:val="4EFC718B"/>
    <w:rsid w:val="4F0768BB"/>
    <w:rsid w:val="4F114B96"/>
    <w:rsid w:val="4F2308EF"/>
    <w:rsid w:val="4F294268"/>
    <w:rsid w:val="4F480852"/>
    <w:rsid w:val="5034385D"/>
    <w:rsid w:val="50692895"/>
    <w:rsid w:val="5075485B"/>
    <w:rsid w:val="508839C8"/>
    <w:rsid w:val="50E13B71"/>
    <w:rsid w:val="51010F22"/>
    <w:rsid w:val="51104F77"/>
    <w:rsid w:val="519B3F7B"/>
    <w:rsid w:val="51A96058"/>
    <w:rsid w:val="51B313CC"/>
    <w:rsid w:val="51BB3C0C"/>
    <w:rsid w:val="51E66290"/>
    <w:rsid w:val="52647CD1"/>
    <w:rsid w:val="526F3518"/>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6C365E"/>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086192"/>
    <w:rsid w:val="5E320D32"/>
    <w:rsid w:val="5E3A23A6"/>
    <w:rsid w:val="5E40400B"/>
    <w:rsid w:val="5E426981"/>
    <w:rsid w:val="5E734086"/>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6605A8"/>
    <w:rsid w:val="629457A8"/>
    <w:rsid w:val="62A43AF9"/>
    <w:rsid w:val="63354556"/>
    <w:rsid w:val="63710425"/>
    <w:rsid w:val="637512DF"/>
    <w:rsid w:val="637E23A2"/>
    <w:rsid w:val="638920E0"/>
    <w:rsid w:val="63A177C9"/>
    <w:rsid w:val="63C4679E"/>
    <w:rsid w:val="642379C5"/>
    <w:rsid w:val="642E15AE"/>
    <w:rsid w:val="64531F05"/>
    <w:rsid w:val="64D34B2D"/>
    <w:rsid w:val="651376B7"/>
    <w:rsid w:val="656649C4"/>
    <w:rsid w:val="65D67393"/>
    <w:rsid w:val="65D93B1D"/>
    <w:rsid w:val="663650FC"/>
    <w:rsid w:val="663C25E1"/>
    <w:rsid w:val="666F013A"/>
    <w:rsid w:val="66BC0E05"/>
    <w:rsid w:val="67230D95"/>
    <w:rsid w:val="672A3BCD"/>
    <w:rsid w:val="68216299"/>
    <w:rsid w:val="686660AE"/>
    <w:rsid w:val="688F2809"/>
    <w:rsid w:val="68AE41F3"/>
    <w:rsid w:val="692861FC"/>
    <w:rsid w:val="693037E7"/>
    <w:rsid w:val="695A5B5C"/>
    <w:rsid w:val="697F74A7"/>
    <w:rsid w:val="698C0ED7"/>
    <w:rsid w:val="699B2B73"/>
    <w:rsid w:val="69A770EA"/>
    <w:rsid w:val="69C43C55"/>
    <w:rsid w:val="6A021E17"/>
    <w:rsid w:val="6A4F71C1"/>
    <w:rsid w:val="6A563F89"/>
    <w:rsid w:val="6A6C2EB7"/>
    <w:rsid w:val="6AA80864"/>
    <w:rsid w:val="6AA90889"/>
    <w:rsid w:val="6AB9328C"/>
    <w:rsid w:val="6AED15E9"/>
    <w:rsid w:val="6AF0115C"/>
    <w:rsid w:val="6B156E29"/>
    <w:rsid w:val="6B3B6FA0"/>
    <w:rsid w:val="6B5E436A"/>
    <w:rsid w:val="6B7D189E"/>
    <w:rsid w:val="6BB74F29"/>
    <w:rsid w:val="6BBD5648"/>
    <w:rsid w:val="6C2B6830"/>
    <w:rsid w:val="6C912E54"/>
    <w:rsid w:val="6CAB2DE1"/>
    <w:rsid w:val="6D0A3E25"/>
    <w:rsid w:val="6D0E73EA"/>
    <w:rsid w:val="6D3B5643"/>
    <w:rsid w:val="6D6546FD"/>
    <w:rsid w:val="6D953261"/>
    <w:rsid w:val="6DA84EE1"/>
    <w:rsid w:val="6E1B5725"/>
    <w:rsid w:val="6E7B1D76"/>
    <w:rsid w:val="6F011566"/>
    <w:rsid w:val="6F297D08"/>
    <w:rsid w:val="6F6E592F"/>
    <w:rsid w:val="6FCB6592"/>
    <w:rsid w:val="6FF05BD4"/>
    <w:rsid w:val="704C611F"/>
    <w:rsid w:val="70A402CF"/>
    <w:rsid w:val="70C96756"/>
    <w:rsid w:val="71490590"/>
    <w:rsid w:val="715829E0"/>
    <w:rsid w:val="7165302F"/>
    <w:rsid w:val="717F0A9B"/>
    <w:rsid w:val="719666A3"/>
    <w:rsid w:val="71E44FAC"/>
    <w:rsid w:val="723E5444"/>
    <w:rsid w:val="72F56F08"/>
    <w:rsid w:val="72FD347C"/>
    <w:rsid w:val="73004BD7"/>
    <w:rsid w:val="731C5C06"/>
    <w:rsid w:val="73211019"/>
    <w:rsid w:val="73462E37"/>
    <w:rsid w:val="7365736C"/>
    <w:rsid w:val="73C96D17"/>
    <w:rsid w:val="73EE6EFF"/>
    <w:rsid w:val="73F27731"/>
    <w:rsid w:val="74687F9F"/>
    <w:rsid w:val="747C6B70"/>
    <w:rsid w:val="74842034"/>
    <w:rsid w:val="74C374EF"/>
    <w:rsid w:val="750760F8"/>
    <w:rsid w:val="75162487"/>
    <w:rsid w:val="756B3D78"/>
    <w:rsid w:val="75CC20B6"/>
    <w:rsid w:val="761210AA"/>
    <w:rsid w:val="767C5C18"/>
    <w:rsid w:val="769D0054"/>
    <w:rsid w:val="76C11445"/>
    <w:rsid w:val="774D5183"/>
    <w:rsid w:val="776B6348"/>
    <w:rsid w:val="77A05FF6"/>
    <w:rsid w:val="77DF3816"/>
    <w:rsid w:val="77EA63A3"/>
    <w:rsid w:val="78503AFC"/>
    <w:rsid w:val="78797974"/>
    <w:rsid w:val="7945193E"/>
    <w:rsid w:val="797B2BE8"/>
    <w:rsid w:val="799F5CAA"/>
    <w:rsid w:val="79C55BAD"/>
    <w:rsid w:val="79D67130"/>
    <w:rsid w:val="79D70E4C"/>
    <w:rsid w:val="79EB0AE8"/>
    <w:rsid w:val="7A44619D"/>
    <w:rsid w:val="7AC13FB3"/>
    <w:rsid w:val="7BB07894"/>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723</Words>
  <Characters>4122</Characters>
  <Lines>34</Lines>
  <Paragraphs>9</Paragraphs>
  <TotalTime>0</TotalTime>
  <ScaleCrop>false</ScaleCrop>
  <LinksUpToDate>false</LinksUpToDate>
  <CharactersWithSpaces>4836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2022-12-05T11:04:20Z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