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snapToGrid/>
        <w:spacing w:line="570" w:lineRule="exact"/>
        <w:ind w:left="0" w:leftChars="0" w:right="0"/>
        <w:jc w:val="center"/>
        <w:textAlignment w:val="auto"/>
        <w:outlineLvl w:val="9"/>
        <w:rPr>
          <w:rFonts w:hint="eastAsia" w:ascii="方正小标宋简体" w:hAnsi="仿宋" w:eastAsia="方正小标宋简体"/>
          <w:sz w:val="44"/>
          <w:szCs w:val="44"/>
        </w:rPr>
      </w:pPr>
    </w:p>
    <w:p>
      <w:pPr>
        <w:widowControl w:val="0"/>
        <w:wordWrap/>
        <w:snapToGrid/>
        <w:spacing w:line="570" w:lineRule="exact"/>
        <w:ind w:left="0" w:leftChars="0" w:right="0"/>
        <w:jc w:val="center"/>
        <w:textAlignment w:val="auto"/>
        <w:outlineLvl w:val="9"/>
        <w:rPr>
          <w:rFonts w:hint="eastAsia" w:ascii="方正小标宋简体" w:hAnsi="仿宋" w:eastAsia="方正小标宋简体"/>
          <w:sz w:val="44"/>
          <w:szCs w:val="44"/>
        </w:rPr>
      </w:pPr>
    </w:p>
    <w:p>
      <w:pPr>
        <w:widowControl w:val="0"/>
        <w:wordWrap/>
        <w:snapToGrid/>
        <w:spacing w:line="570" w:lineRule="exact"/>
        <w:ind w:left="0" w:leftChars="0" w:right="0"/>
        <w:jc w:val="center"/>
        <w:textAlignment w:val="auto"/>
        <w:outlineLvl w:val="9"/>
        <w:rPr>
          <w:rFonts w:hint="eastAsia" w:ascii="方正小标宋简体" w:hAnsi="仿宋" w:eastAsia="方正小标宋简体"/>
          <w:sz w:val="44"/>
          <w:szCs w:val="44"/>
        </w:rPr>
      </w:pPr>
    </w:p>
    <w:p>
      <w:pPr>
        <w:widowControl w:val="0"/>
        <w:wordWrap/>
        <w:snapToGrid/>
        <w:spacing w:line="570" w:lineRule="exact"/>
        <w:ind w:left="0" w:leftChars="0" w:right="0"/>
        <w:jc w:val="center"/>
        <w:textAlignment w:val="auto"/>
        <w:outlineLvl w:val="9"/>
        <w:rPr>
          <w:rFonts w:hint="eastAsia" w:ascii="方正小标宋简体" w:hAnsi="仿宋" w:eastAsia="方正小标宋简体"/>
          <w:sz w:val="44"/>
          <w:szCs w:val="44"/>
        </w:rPr>
      </w:pPr>
      <w:r>
        <w:rPr>
          <w:rFonts w:hint="eastAsia" w:ascii="方正小标宋简体" w:hAnsi="仿宋" w:eastAsia="方正小标宋简体"/>
          <w:sz w:val="44"/>
          <w:szCs w:val="44"/>
        </w:rPr>
        <w:t>察隅县上察隅镇中心小学202</w:t>
      </w:r>
      <w:r>
        <w:rPr>
          <w:rFonts w:hint="eastAsia" w:ascii="方正小标宋简体" w:hAnsi="仿宋" w:eastAsia="方正小标宋简体"/>
          <w:sz w:val="44"/>
          <w:szCs w:val="44"/>
          <w:lang w:val="en-US" w:eastAsia="zh-CN"/>
        </w:rPr>
        <w:t>1</w:t>
      </w:r>
      <w:r>
        <w:rPr>
          <w:rFonts w:hint="eastAsia" w:ascii="方正小标宋简体" w:hAnsi="仿宋" w:eastAsia="方正小标宋简体"/>
          <w:sz w:val="44"/>
          <w:szCs w:val="44"/>
        </w:rPr>
        <w:t>年度</w:t>
      </w:r>
    </w:p>
    <w:p>
      <w:pPr>
        <w:widowControl w:val="0"/>
        <w:wordWrap/>
        <w:snapToGrid/>
        <w:spacing w:line="570" w:lineRule="exact"/>
        <w:ind w:left="0" w:leftChars="0" w:right="0"/>
        <w:jc w:val="center"/>
        <w:textAlignment w:val="auto"/>
        <w:outlineLvl w:val="9"/>
        <w:rPr>
          <w:rFonts w:ascii="方正小标宋简体" w:hAnsi="仿宋" w:eastAsia="方正小标宋简体"/>
          <w:sz w:val="44"/>
          <w:szCs w:val="44"/>
        </w:rPr>
      </w:pPr>
      <w:r>
        <w:rPr>
          <w:rFonts w:hint="eastAsia" w:ascii="方正小标宋简体" w:hAnsi="仿宋" w:eastAsia="方正小标宋简体"/>
          <w:sz w:val="44"/>
          <w:szCs w:val="44"/>
        </w:rPr>
        <w:t>部门预算</w:t>
      </w:r>
    </w:p>
    <w:p>
      <w:pPr>
        <w:widowControl w:val="0"/>
        <w:wordWrap/>
        <w:snapToGrid/>
        <w:spacing w:line="570" w:lineRule="exact"/>
        <w:ind w:left="0" w:leftChars="0" w:right="0"/>
        <w:textAlignment w:val="auto"/>
        <w:outlineLvl w:val="9"/>
        <w:rPr>
          <w:rFonts w:ascii="仿宋" w:hAnsi="仿宋" w:eastAsia="仿宋"/>
          <w:sz w:val="32"/>
          <w:szCs w:val="32"/>
        </w:rPr>
      </w:pPr>
    </w:p>
    <w:p>
      <w:pPr>
        <w:widowControl w:val="0"/>
        <w:wordWrap/>
        <w:snapToGrid/>
        <w:spacing w:line="570" w:lineRule="exact"/>
        <w:ind w:left="0" w:leftChars="0" w:right="0"/>
        <w:textAlignment w:val="auto"/>
        <w:outlineLvl w:val="9"/>
        <w:rPr>
          <w:rFonts w:ascii="仿宋" w:hAnsi="仿宋" w:eastAsia="仿宋"/>
          <w:sz w:val="32"/>
          <w:szCs w:val="32"/>
        </w:rPr>
      </w:pPr>
    </w:p>
    <w:p>
      <w:pPr>
        <w:widowControl w:val="0"/>
        <w:wordWrap/>
        <w:snapToGrid/>
        <w:spacing w:line="570" w:lineRule="exact"/>
        <w:ind w:left="0" w:leftChars="0" w:right="0"/>
        <w:textAlignment w:val="auto"/>
        <w:outlineLvl w:val="9"/>
        <w:rPr>
          <w:rFonts w:ascii="仿宋" w:hAnsi="仿宋" w:eastAsia="仿宋"/>
          <w:sz w:val="32"/>
          <w:szCs w:val="32"/>
        </w:rPr>
      </w:pPr>
    </w:p>
    <w:p>
      <w:pPr>
        <w:widowControl w:val="0"/>
        <w:wordWrap/>
        <w:snapToGrid/>
        <w:spacing w:line="570" w:lineRule="exact"/>
        <w:ind w:left="0" w:leftChars="0" w:right="0"/>
        <w:textAlignment w:val="auto"/>
        <w:outlineLvl w:val="9"/>
        <w:rPr>
          <w:rFonts w:ascii="仿宋" w:hAnsi="仿宋" w:eastAsia="仿宋"/>
          <w:sz w:val="32"/>
          <w:szCs w:val="32"/>
        </w:rPr>
      </w:pPr>
    </w:p>
    <w:p>
      <w:pPr>
        <w:widowControl w:val="0"/>
        <w:wordWrap/>
        <w:snapToGrid/>
        <w:spacing w:line="570" w:lineRule="exact"/>
        <w:ind w:left="0" w:leftChars="0" w:right="0"/>
        <w:textAlignment w:val="auto"/>
        <w:outlineLvl w:val="9"/>
        <w:rPr>
          <w:rFonts w:ascii="仿宋" w:hAnsi="仿宋" w:eastAsia="仿宋"/>
          <w:sz w:val="32"/>
          <w:szCs w:val="32"/>
        </w:rPr>
      </w:pPr>
    </w:p>
    <w:p>
      <w:pPr>
        <w:widowControl w:val="0"/>
        <w:wordWrap/>
        <w:snapToGrid/>
        <w:spacing w:line="570" w:lineRule="exact"/>
        <w:ind w:left="0" w:leftChars="0" w:right="0"/>
        <w:textAlignment w:val="auto"/>
        <w:outlineLvl w:val="9"/>
        <w:rPr>
          <w:rFonts w:ascii="仿宋" w:hAnsi="仿宋" w:eastAsia="仿宋"/>
          <w:sz w:val="32"/>
          <w:szCs w:val="32"/>
        </w:rPr>
      </w:pPr>
    </w:p>
    <w:p>
      <w:pPr>
        <w:widowControl w:val="0"/>
        <w:wordWrap/>
        <w:snapToGrid/>
        <w:spacing w:line="570" w:lineRule="exact"/>
        <w:ind w:left="0" w:leftChars="0" w:right="0"/>
        <w:textAlignment w:val="auto"/>
        <w:outlineLvl w:val="9"/>
        <w:rPr>
          <w:rFonts w:ascii="仿宋" w:hAnsi="仿宋" w:eastAsia="仿宋"/>
          <w:sz w:val="32"/>
          <w:szCs w:val="32"/>
        </w:rPr>
      </w:pPr>
    </w:p>
    <w:p>
      <w:pPr>
        <w:widowControl w:val="0"/>
        <w:wordWrap/>
        <w:snapToGrid/>
        <w:spacing w:line="570" w:lineRule="exact"/>
        <w:ind w:left="0" w:leftChars="0" w:right="0"/>
        <w:textAlignment w:val="auto"/>
        <w:outlineLvl w:val="9"/>
        <w:rPr>
          <w:rFonts w:ascii="仿宋" w:hAnsi="仿宋" w:eastAsia="仿宋"/>
          <w:sz w:val="32"/>
          <w:szCs w:val="32"/>
        </w:rPr>
      </w:pPr>
    </w:p>
    <w:p>
      <w:pPr>
        <w:widowControl w:val="0"/>
        <w:wordWrap/>
        <w:snapToGrid/>
        <w:spacing w:line="570" w:lineRule="exact"/>
        <w:ind w:left="0" w:leftChars="0" w:right="0"/>
        <w:textAlignment w:val="auto"/>
        <w:outlineLvl w:val="9"/>
        <w:rPr>
          <w:rFonts w:ascii="仿宋" w:hAnsi="仿宋" w:eastAsia="仿宋"/>
          <w:sz w:val="32"/>
          <w:szCs w:val="32"/>
        </w:rPr>
      </w:pPr>
    </w:p>
    <w:p>
      <w:pPr>
        <w:widowControl w:val="0"/>
        <w:wordWrap/>
        <w:snapToGrid/>
        <w:spacing w:line="570" w:lineRule="exact"/>
        <w:ind w:left="0" w:leftChars="0" w:right="0"/>
        <w:textAlignment w:val="auto"/>
        <w:outlineLvl w:val="9"/>
        <w:rPr>
          <w:rFonts w:ascii="仿宋" w:hAnsi="仿宋" w:eastAsia="仿宋"/>
          <w:sz w:val="32"/>
          <w:szCs w:val="32"/>
        </w:rPr>
      </w:pPr>
      <w:bookmarkStart w:id="0" w:name="_GoBack"/>
      <w:bookmarkEnd w:id="0"/>
    </w:p>
    <w:p>
      <w:pPr>
        <w:widowControl w:val="0"/>
        <w:wordWrap/>
        <w:snapToGrid/>
        <w:spacing w:line="570" w:lineRule="exact"/>
        <w:ind w:left="0" w:leftChars="0" w:right="0"/>
        <w:textAlignment w:val="auto"/>
        <w:outlineLvl w:val="9"/>
        <w:rPr>
          <w:rFonts w:ascii="仿宋" w:hAnsi="仿宋" w:eastAsia="仿宋"/>
          <w:sz w:val="32"/>
          <w:szCs w:val="32"/>
        </w:rPr>
      </w:pPr>
    </w:p>
    <w:p>
      <w:pPr>
        <w:widowControl w:val="0"/>
        <w:wordWrap/>
        <w:snapToGrid/>
        <w:spacing w:line="570" w:lineRule="exact"/>
        <w:ind w:left="0" w:leftChars="0" w:right="0"/>
        <w:textAlignment w:val="auto"/>
        <w:outlineLvl w:val="9"/>
        <w:rPr>
          <w:rFonts w:ascii="仿宋" w:hAnsi="仿宋" w:eastAsia="仿宋"/>
          <w:sz w:val="32"/>
          <w:szCs w:val="32"/>
        </w:rPr>
      </w:pPr>
    </w:p>
    <w:p>
      <w:pPr>
        <w:widowControl w:val="0"/>
        <w:wordWrap/>
        <w:snapToGrid/>
        <w:spacing w:line="570" w:lineRule="exact"/>
        <w:ind w:left="0" w:leftChars="0" w:right="0"/>
        <w:textAlignment w:val="auto"/>
        <w:outlineLvl w:val="9"/>
        <w:rPr>
          <w:rFonts w:ascii="仿宋" w:hAnsi="仿宋" w:eastAsia="仿宋"/>
          <w:sz w:val="32"/>
          <w:szCs w:val="32"/>
        </w:rPr>
      </w:pPr>
    </w:p>
    <w:p>
      <w:pPr>
        <w:widowControl w:val="0"/>
        <w:wordWrap/>
        <w:snapToGrid/>
        <w:spacing w:line="570" w:lineRule="exact"/>
        <w:ind w:left="0" w:leftChars="0" w:right="0"/>
        <w:textAlignment w:val="auto"/>
        <w:outlineLvl w:val="9"/>
        <w:rPr>
          <w:rFonts w:ascii="仿宋" w:hAnsi="仿宋" w:eastAsia="仿宋"/>
          <w:sz w:val="32"/>
          <w:szCs w:val="32"/>
        </w:rPr>
      </w:pPr>
    </w:p>
    <w:p>
      <w:pPr>
        <w:widowControl w:val="0"/>
        <w:wordWrap/>
        <w:snapToGrid/>
        <w:spacing w:line="570" w:lineRule="exact"/>
        <w:ind w:left="0" w:leftChars="0" w:right="0"/>
        <w:textAlignment w:val="auto"/>
        <w:outlineLvl w:val="9"/>
        <w:rPr>
          <w:rFonts w:ascii="仿宋" w:hAnsi="仿宋" w:eastAsia="仿宋"/>
          <w:sz w:val="32"/>
          <w:szCs w:val="32"/>
        </w:rPr>
      </w:pPr>
    </w:p>
    <w:p>
      <w:pPr>
        <w:widowControl w:val="0"/>
        <w:wordWrap/>
        <w:snapToGrid/>
        <w:spacing w:line="570" w:lineRule="exact"/>
        <w:ind w:left="0" w:leftChars="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 xml:space="preserve"> 2</w:t>
      </w:r>
      <w:r>
        <w:rPr>
          <w:rFonts w:hint="eastAsia" w:ascii="仿宋_GB2312" w:hAnsi="仿宋_GB2312" w:eastAsia="仿宋_GB2312" w:cs="仿宋_GB2312"/>
          <w:sz w:val="32"/>
          <w:szCs w:val="32"/>
        </w:rPr>
        <w:t xml:space="preserve">月 </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日</w:t>
      </w:r>
    </w:p>
    <w:p>
      <w:pPr>
        <w:widowControl w:val="0"/>
        <w:wordWrap/>
        <w:snapToGrid/>
        <w:spacing w:line="570" w:lineRule="exact"/>
        <w:ind w:left="0" w:leftChars="0" w:right="0"/>
        <w:textAlignment w:val="auto"/>
        <w:outlineLvl w:val="9"/>
        <w:rPr>
          <w:rFonts w:ascii="仿宋" w:hAnsi="仿宋" w:eastAsia="仿宋"/>
          <w:sz w:val="32"/>
          <w:szCs w:val="32"/>
        </w:rPr>
      </w:pPr>
    </w:p>
    <w:p>
      <w:pPr>
        <w:widowControl w:val="0"/>
        <w:wordWrap/>
        <w:snapToGrid/>
        <w:spacing w:line="570" w:lineRule="exact"/>
        <w:ind w:left="0" w:leftChars="0" w:right="0"/>
        <w:textAlignment w:val="auto"/>
        <w:outlineLvl w:val="9"/>
        <w:rPr>
          <w:rFonts w:ascii="仿宋" w:hAnsi="仿宋" w:eastAsia="仿宋"/>
          <w:sz w:val="32"/>
          <w:szCs w:val="32"/>
        </w:rPr>
      </w:pPr>
    </w:p>
    <w:p>
      <w:pPr>
        <w:widowControl w:val="0"/>
        <w:wordWrap/>
        <w:snapToGrid/>
        <w:spacing w:line="570" w:lineRule="exact"/>
        <w:ind w:left="0" w:leftChars="0" w:right="0"/>
        <w:textAlignment w:val="auto"/>
        <w:outlineLvl w:val="9"/>
        <w:rPr>
          <w:rFonts w:ascii="仿宋" w:hAnsi="仿宋" w:eastAsia="仿宋"/>
          <w:sz w:val="32"/>
          <w:szCs w:val="32"/>
        </w:rPr>
      </w:pPr>
    </w:p>
    <w:p>
      <w:pPr>
        <w:widowControl w:val="0"/>
        <w:wordWrap/>
        <w:snapToGrid/>
        <w:spacing w:line="570" w:lineRule="exact"/>
        <w:ind w:left="0" w:leftChars="0" w:right="0"/>
        <w:jc w:val="center"/>
        <w:textAlignment w:val="auto"/>
        <w:outlineLvl w:val="9"/>
        <w:rPr>
          <w:rFonts w:ascii="方正小标宋简体" w:hAnsi="仿宋" w:eastAsia="方正小标宋简体"/>
          <w:sz w:val="44"/>
          <w:szCs w:val="44"/>
        </w:rPr>
      </w:pPr>
      <w:r>
        <w:rPr>
          <w:rFonts w:hint="eastAsia" w:ascii="方正小标宋简体" w:hAnsi="仿宋" w:eastAsia="方正小标宋简体"/>
          <w:sz w:val="44"/>
          <w:szCs w:val="44"/>
        </w:rPr>
        <w:t>目  录</w:t>
      </w:r>
    </w:p>
    <w:p>
      <w:pPr>
        <w:widowControl w:val="0"/>
        <w:wordWrap/>
        <w:snapToGrid/>
        <w:spacing w:line="570" w:lineRule="exact"/>
        <w:ind w:left="0" w:leftChars="0" w:right="0"/>
        <w:textAlignment w:val="auto"/>
        <w:outlineLvl w:val="9"/>
        <w:rPr>
          <w:rFonts w:ascii="仿宋" w:hAnsi="仿宋" w:eastAsia="仿宋"/>
          <w:sz w:val="32"/>
          <w:szCs w:val="32"/>
        </w:rPr>
      </w:pPr>
    </w:p>
    <w:p>
      <w:pPr>
        <w:widowControl w:val="0"/>
        <w:wordWrap/>
        <w:snapToGrid/>
        <w:spacing w:line="570" w:lineRule="exact"/>
        <w:ind w:left="0" w:leftChars="0" w:right="0"/>
        <w:textAlignment w:val="auto"/>
        <w:outlineLvl w:val="9"/>
        <w:rPr>
          <w:rFonts w:hint="eastAsia" w:ascii="黑体" w:hAnsi="黑体" w:eastAsia="黑体" w:cs="黑体"/>
          <w:sz w:val="32"/>
          <w:szCs w:val="32"/>
        </w:rPr>
      </w:pPr>
      <w:r>
        <w:rPr>
          <w:rFonts w:hint="eastAsia" w:ascii="黑体" w:hAnsi="黑体" w:eastAsia="黑体" w:cs="黑体"/>
          <w:sz w:val="32"/>
          <w:szCs w:val="32"/>
        </w:rPr>
        <w:t>第一部分</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察隅县上察隅镇中心小学概况</w:t>
      </w:r>
    </w:p>
    <w:p>
      <w:pPr>
        <w:widowControl w:val="0"/>
        <w:wordWrap/>
        <w:snapToGrid/>
        <w:spacing w:line="570" w:lineRule="exact"/>
        <w:ind w:left="0" w:leftChars="0" w:right="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一、主要职能</w:t>
      </w:r>
    </w:p>
    <w:p>
      <w:pPr>
        <w:widowControl w:val="0"/>
        <w:wordWrap/>
        <w:snapToGrid/>
        <w:spacing w:line="570" w:lineRule="exact"/>
        <w:ind w:left="0" w:leftChars="0" w:right="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二、部门预算单位构成</w:t>
      </w:r>
    </w:p>
    <w:p>
      <w:pPr>
        <w:widowControl w:val="0"/>
        <w:wordWrap/>
        <w:snapToGrid/>
        <w:spacing w:line="570" w:lineRule="exact"/>
        <w:ind w:left="0" w:leftChars="0" w:right="0"/>
        <w:textAlignment w:val="auto"/>
        <w:outlineLvl w:val="9"/>
        <w:rPr>
          <w:rFonts w:hint="eastAsia" w:ascii="黑体" w:hAnsi="黑体" w:eastAsia="黑体" w:cs="黑体"/>
          <w:sz w:val="32"/>
          <w:szCs w:val="32"/>
        </w:rPr>
      </w:pPr>
      <w:r>
        <w:rPr>
          <w:rFonts w:hint="eastAsia" w:ascii="黑体" w:hAnsi="黑体" w:eastAsia="黑体" w:cs="黑体"/>
          <w:sz w:val="32"/>
          <w:szCs w:val="32"/>
        </w:rPr>
        <w:t>第二部分</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察隅县上察隅镇中心小学202</w:t>
      </w:r>
      <w:r>
        <w:rPr>
          <w:rFonts w:hint="eastAsia" w:ascii="黑体" w:hAnsi="黑体" w:eastAsia="黑体" w:cs="黑体"/>
          <w:sz w:val="32"/>
          <w:szCs w:val="32"/>
          <w:lang w:val="en-US" w:eastAsia="zh-CN"/>
        </w:rPr>
        <w:t>1</w:t>
      </w:r>
      <w:r>
        <w:rPr>
          <w:rFonts w:hint="eastAsia" w:ascii="黑体" w:hAnsi="黑体" w:eastAsia="黑体" w:cs="黑体"/>
          <w:sz w:val="32"/>
          <w:szCs w:val="32"/>
        </w:rPr>
        <w:t>年度部门预算明细表</w:t>
      </w:r>
    </w:p>
    <w:p>
      <w:pPr>
        <w:widowControl w:val="0"/>
        <w:wordWrap/>
        <w:snapToGrid/>
        <w:spacing w:line="570" w:lineRule="exact"/>
        <w:ind w:left="0" w:leftChars="0" w:right="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一、部门收支总体情况表</w:t>
      </w:r>
    </w:p>
    <w:p>
      <w:pPr>
        <w:widowControl w:val="0"/>
        <w:wordWrap/>
        <w:snapToGrid/>
        <w:spacing w:line="570" w:lineRule="exact"/>
        <w:ind w:left="0" w:leftChars="0" w:right="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二、部门收入总体情况表</w:t>
      </w:r>
    </w:p>
    <w:p>
      <w:pPr>
        <w:widowControl w:val="0"/>
        <w:wordWrap/>
        <w:snapToGrid/>
        <w:spacing w:line="570" w:lineRule="exact"/>
        <w:ind w:left="0" w:leftChars="0" w:right="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三、部门支出总体情况表</w:t>
      </w:r>
    </w:p>
    <w:p>
      <w:pPr>
        <w:widowControl w:val="0"/>
        <w:wordWrap/>
        <w:snapToGrid/>
        <w:spacing w:line="570" w:lineRule="exact"/>
        <w:ind w:left="0" w:leftChars="0" w:right="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四、财政拨款收支总体情况表</w:t>
      </w:r>
    </w:p>
    <w:p>
      <w:pPr>
        <w:widowControl w:val="0"/>
        <w:wordWrap/>
        <w:snapToGrid/>
        <w:spacing w:line="570" w:lineRule="exact"/>
        <w:ind w:left="0" w:leftChars="0" w:right="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五、一般公共预算支出情况表（按功能分类科目）</w:t>
      </w:r>
    </w:p>
    <w:p>
      <w:pPr>
        <w:widowControl w:val="0"/>
        <w:wordWrap/>
        <w:snapToGrid/>
        <w:spacing w:line="570" w:lineRule="exact"/>
        <w:ind w:left="0" w:leftChars="0" w:right="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六、一般公共预算基本支出情况表（按经济分类款级科目）</w:t>
      </w:r>
    </w:p>
    <w:p>
      <w:pPr>
        <w:widowControl w:val="0"/>
        <w:wordWrap/>
        <w:snapToGrid/>
        <w:spacing w:line="570" w:lineRule="exact"/>
        <w:ind w:left="0" w:leftChars="0" w:right="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七、一般公共预算“三公”经费支出情况表</w:t>
      </w:r>
    </w:p>
    <w:p>
      <w:pPr>
        <w:widowControl w:val="0"/>
        <w:wordWrap/>
        <w:snapToGrid/>
        <w:spacing w:line="570" w:lineRule="exact"/>
        <w:ind w:left="0" w:leftChars="0" w:right="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八、政府性基金“三公”经费支出情况表</w:t>
      </w:r>
    </w:p>
    <w:p>
      <w:pPr>
        <w:widowControl w:val="0"/>
        <w:wordWrap/>
        <w:snapToGrid/>
        <w:spacing w:line="570" w:lineRule="exact"/>
        <w:ind w:left="0" w:leftChars="0" w:right="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九、政府性基金预算支出情况表</w:t>
      </w:r>
    </w:p>
    <w:p>
      <w:pPr>
        <w:widowControl/>
        <w:wordWrap/>
        <w:adjustRightInd w:val="0"/>
        <w:snapToGrid w:val="0"/>
        <w:spacing w:after="0" w:line="560" w:lineRule="exact"/>
        <w:ind w:left="0" w:leftChars="0" w:right="0" w:firstLine="0" w:firstLineChars="0"/>
        <w:jc w:val="both"/>
        <w:textAlignment w:val="auto"/>
        <w:outlineLvl w:val="9"/>
        <w:rPr>
          <w:rFonts w:hint="eastAsia" w:ascii="仿宋_GB2312" w:hAnsi="宋体" w:eastAsia="仿宋_GB2312"/>
          <w:snapToGrid w:val="0"/>
          <w:w w:val="95"/>
          <w:sz w:val="32"/>
          <w:szCs w:val="32"/>
        </w:rPr>
      </w:pPr>
      <w:r>
        <w:rPr>
          <w:rFonts w:hint="eastAsia" w:ascii="仿宋_GB2312" w:hAnsi="宋体" w:eastAsia="仿宋_GB2312"/>
          <w:snapToGrid w:val="0"/>
          <w:w w:val="95"/>
          <w:sz w:val="32"/>
          <w:szCs w:val="32"/>
        </w:rPr>
        <w:t>十、项目支出绩效</w:t>
      </w:r>
      <w:r>
        <w:rPr>
          <w:rFonts w:hint="eastAsia" w:ascii="仿宋_GB2312" w:hAnsi="宋体" w:eastAsia="仿宋_GB2312"/>
          <w:snapToGrid w:val="0"/>
          <w:w w:val="95"/>
          <w:sz w:val="32"/>
          <w:szCs w:val="32"/>
          <w:lang w:eastAsia="zh-CN"/>
        </w:rPr>
        <w:t>信息</w:t>
      </w:r>
      <w:r>
        <w:rPr>
          <w:rFonts w:hint="eastAsia" w:ascii="仿宋_GB2312" w:hAnsi="宋体" w:eastAsia="仿宋_GB2312"/>
          <w:snapToGrid w:val="0"/>
          <w:w w:val="95"/>
          <w:sz w:val="32"/>
          <w:szCs w:val="32"/>
        </w:rPr>
        <w:t>表</w:t>
      </w:r>
    </w:p>
    <w:p>
      <w:pPr>
        <w:widowControl/>
        <w:wordWrap/>
        <w:adjustRightInd w:val="0"/>
        <w:snapToGrid w:val="0"/>
        <w:spacing w:after="0" w:line="560" w:lineRule="exact"/>
        <w:ind w:left="0" w:leftChars="0" w:right="0" w:firstLine="0" w:firstLineChars="0"/>
        <w:jc w:val="both"/>
        <w:textAlignment w:val="auto"/>
        <w:outlineLvl w:val="9"/>
        <w:rPr>
          <w:rFonts w:hint="eastAsia" w:ascii="仿宋_GB2312" w:hAnsi="宋体" w:eastAsia="仿宋_GB2312"/>
          <w:snapToGrid w:val="0"/>
          <w:w w:val="95"/>
          <w:sz w:val="32"/>
          <w:szCs w:val="32"/>
        </w:rPr>
      </w:pPr>
      <w:r>
        <w:rPr>
          <w:rFonts w:hint="eastAsia" w:ascii="仿宋_GB2312" w:hAnsi="宋体" w:eastAsia="仿宋_GB2312"/>
          <w:snapToGrid w:val="0"/>
          <w:w w:val="95"/>
          <w:sz w:val="32"/>
          <w:szCs w:val="32"/>
        </w:rPr>
        <w:t>十一、政府购买服务预算表</w:t>
      </w:r>
    </w:p>
    <w:p>
      <w:pPr>
        <w:widowControl w:val="0"/>
        <w:wordWrap/>
        <w:snapToGrid/>
        <w:spacing w:line="570" w:lineRule="exact"/>
        <w:ind w:left="0" w:leftChars="0" w:right="0"/>
        <w:textAlignment w:val="auto"/>
        <w:outlineLvl w:val="9"/>
        <w:rPr>
          <w:rFonts w:hint="eastAsia" w:ascii="黑体" w:hAnsi="黑体" w:eastAsia="黑体" w:cs="黑体"/>
          <w:sz w:val="32"/>
          <w:szCs w:val="32"/>
        </w:rPr>
      </w:pPr>
      <w:r>
        <w:rPr>
          <w:rFonts w:hint="eastAsia" w:ascii="黑体" w:hAnsi="黑体" w:eastAsia="黑体" w:cs="黑体"/>
          <w:sz w:val="32"/>
          <w:szCs w:val="32"/>
        </w:rPr>
        <w:t>第三部分</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察隅县上察隅镇中心小学202</w:t>
      </w:r>
      <w:r>
        <w:rPr>
          <w:rFonts w:hint="eastAsia" w:ascii="黑体" w:hAnsi="黑体" w:eastAsia="黑体" w:cs="黑体"/>
          <w:sz w:val="32"/>
          <w:szCs w:val="32"/>
          <w:lang w:val="en-US" w:eastAsia="zh-CN"/>
        </w:rPr>
        <w:t>1</w:t>
      </w:r>
      <w:r>
        <w:rPr>
          <w:rFonts w:hint="eastAsia" w:ascii="黑体" w:hAnsi="黑体" w:eastAsia="黑体" w:cs="黑体"/>
          <w:sz w:val="32"/>
          <w:szCs w:val="32"/>
        </w:rPr>
        <w:t>年度部门预算数据分析</w:t>
      </w:r>
    </w:p>
    <w:p>
      <w:pPr>
        <w:widowControl w:val="0"/>
        <w:wordWrap/>
        <w:snapToGrid/>
        <w:spacing w:line="570" w:lineRule="exact"/>
        <w:ind w:left="0" w:leftChars="0" w:right="0"/>
        <w:textAlignment w:val="auto"/>
        <w:outlineLvl w:val="9"/>
        <w:rPr>
          <w:rFonts w:hint="eastAsia" w:ascii="黑体" w:hAnsi="黑体" w:eastAsia="黑体" w:cs="黑体"/>
          <w:sz w:val="32"/>
          <w:szCs w:val="32"/>
        </w:rPr>
      </w:pPr>
      <w:r>
        <w:rPr>
          <w:rFonts w:hint="eastAsia" w:ascii="黑体" w:hAnsi="黑体" w:eastAsia="黑体" w:cs="黑体"/>
          <w:sz w:val="32"/>
          <w:szCs w:val="32"/>
        </w:rPr>
        <w:t>第四部分</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名词解释</w:t>
      </w:r>
    </w:p>
    <w:p>
      <w:pPr>
        <w:spacing w:after="0" w:line="560" w:lineRule="exact"/>
        <w:jc w:val="both"/>
        <w:rPr>
          <w:rFonts w:ascii="仿宋_GB2312" w:hAnsi="黑体" w:eastAsia="仿宋_GB2312" w:cs="黑体"/>
          <w:bCs/>
          <w:snapToGrid w:val="0"/>
          <w:w w:val="95"/>
          <w:sz w:val="32"/>
          <w:szCs w:val="32"/>
        </w:rPr>
      </w:pPr>
      <w:r>
        <w:rPr>
          <w:rFonts w:hint="eastAsia" w:ascii="仿宋_GB2312" w:hAnsi="黑体" w:eastAsia="仿宋_GB2312" w:cs="黑体"/>
          <w:bCs/>
          <w:snapToGrid w:val="0"/>
          <w:w w:val="95"/>
          <w:sz w:val="32"/>
          <w:szCs w:val="32"/>
        </w:rPr>
        <w:t>附件：</w:t>
      </w:r>
    </w:p>
    <w:p>
      <w:pPr>
        <w:widowControl/>
        <w:wordWrap/>
        <w:adjustRightInd w:val="0"/>
        <w:snapToGrid w:val="0"/>
        <w:spacing w:after="0" w:line="560" w:lineRule="exact"/>
        <w:ind w:left="0" w:leftChars="0" w:right="0" w:firstLine="0" w:firstLineChars="0"/>
        <w:jc w:val="both"/>
        <w:textAlignment w:val="auto"/>
        <w:outlineLvl w:val="9"/>
        <w:rPr>
          <w:rFonts w:hint="eastAsia" w:ascii="方正小标宋简体" w:hAnsi="仿宋" w:eastAsia="方正小标宋简体"/>
          <w:sz w:val="32"/>
          <w:szCs w:val="32"/>
        </w:rPr>
      </w:pPr>
      <w:r>
        <w:rPr>
          <w:rFonts w:hint="eastAsia" w:ascii="仿宋_GB2312" w:hAnsi="宋体" w:eastAsia="仿宋_GB2312"/>
          <w:snapToGrid w:val="0"/>
          <w:w w:val="95"/>
          <w:sz w:val="32"/>
          <w:szCs w:val="32"/>
        </w:rPr>
        <w:t>察隅县</w:t>
      </w:r>
      <w:r>
        <w:rPr>
          <w:rFonts w:hint="eastAsia" w:ascii="仿宋_GB2312" w:hAnsi="宋体" w:eastAsia="仿宋_GB2312"/>
          <w:snapToGrid w:val="0"/>
          <w:w w:val="95"/>
          <w:sz w:val="32"/>
          <w:szCs w:val="32"/>
          <w:lang w:eastAsia="zh-CN"/>
        </w:rPr>
        <w:t>上察隅镇中心小学</w:t>
      </w:r>
      <w:r>
        <w:rPr>
          <w:rFonts w:hint="eastAsia" w:ascii="仿宋_GB2312" w:hAnsi="宋体" w:eastAsia="仿宋_GB2312"/>
          <w:snapToGrid w:val="0"/>
          <w:w w:val="95"/>
          <w:sz w:val="32"/>
          <w:szCs w:val="32"/>
        </w:rPr>
        <w:t>202</w:t>
      </w:r>
      <w:r>
        <w:rPr>
          <w:rFonts w:hint="eastAsia" w:ascii="仿宋_GB2312" w:hAnsi="宋体" w:eastAsia="仿宋_GB2312"/>
          <w:snapToGrid w:val="0"/>
          <w:w w:val="95"/>
          <w:sz w:val="32"/>
          <w:szCs w:val="32"/>
          <w:lang w:val="en-US" w:eastAsia="zh-CN"/>
        </w:rPr>
        <w:t>1</w:t>
      </w:r>
      <w:r>
        <w:rPr>
          <w:rFonts w:hint="eastAsia" w:ascii="仿宋_GB2312" w:hAnsi="宋体" w:eastAsia="仿宋_GB2312"/>
          <w:snapToGrid w:val="0"/>
          <w:w w:val="95"/>
          <w:sz w:val="32"/>
          <w:szCs w:val="32"/>
        </w:rPr>
        <w:t>年度部门预算明细表</w:t>
      </w:r>
      <w:r>
        <w:rPr>
          <w:rFonts w:hint="eastAsia" w:ascii="仿宋_GB2312" w:hAnsi="宋体" w:eastAsia="仿宋_GB2312"/>
          <w:snapToGrid w:val="0"/>
          <w:w w:val="95"/>
          <w:sz w:val="32"/>
          <w:szCs w:val="32"/>
          <w:lang w:eastAsia="zh-CN"/>
        </w:rPr>
        <w:t>（含</w:t>
      </w:r>
      <w:r>
        <w:rPr>
          <w:rFonts w:hint="eastAsia" w:ascii="仿宋_GB2312" w:hAnsi="宋体" w:eastAsia="仿宋_GB2312"/>
          <w:snapToGrid w:val="0"/>
          <w:w w:val="95"/>
          <w:sz w:val="32"/>
          <w:szCs w:val="32"/>
          <w:lang w:val="en-US" w:eastAsia="zh-CN"/>
        </w:rPr>
        <w:t>十一张表</w:t>
      </w:r>
      <w:r>
        <w:rPr>
          <w:rFonts w:hint="eastAsia" w:ascii="仿宋_GB2312" w:hAnsi="宋体" w:eastAsia="仿宋_GB2312"/>
          <w:snapToGrid w:val="0"/>
          <w:w w:val="95"/>
          <w:sz w:val="32"/>
          <w:szCs w:val="32"/>
          <w:lang w:eastAsia="zh-CN"/>
        </w:rPr>
        <w:t>）</w:t>
      </w:r>
    </w:p>
    <w:p>
      <w:pPr>
        <w:widowControl w:val="0"/>
        <w:wordWrap/>
        <w:snapToGrid/>
        <w:spacing w:line="570" w:lineRule="exact"/>
        <w:ind w:left="0" w:leftChars="0" w:right="0"/>
        <w:textAlignment w:val="auto"/>
        <w:outlineLvl w:val="9"/>
        <w:rPr>
          <w:rFonts w:ascii="仿宋" w:hAnsi="仿宋" w:eastAsia="仿宋"/>
          <w:sz w:val="32"/>
          <w:szCs w:val="32"/>
        </w:rPr>
      </w:pPr>
    </w:p>
    <w:p>
      <w:pPr>
        <w:widowControl w:val="0"/>
        <w:wordWrap/>
        <w:snapToGrid/>
        <w:spacing w:line="570" w:lineRule="exact"/>
        <w:ind w:left="0" w:leftChars="0" w:right="0"/>
        <w:jc w:val="center"/>
        <w:textAlignment w:val="auto"/>
        <w:outlineLvl w:val="9"/>
        <w:rPr>
          <w:rFonts w:ascii="方正小标宋简体" w:hAnsi="仿宋" w:eastAsia="方正小标宋简体"/>
          <w:sz w:val="44"/>
          <w:szCs w:val="44"/>
        </w:rPr>
      </w:pPr>
      <w:r>
        <w:rPr>
          <w:rFonts w:hint="eastAsia" w:ascii="方正小标宋简体" w:hAnsi="仿宋" w:eastAsia="方正小标宋简体"/>
          <w:sz w:val="44"/>
          <w:szCs w:val="44"/>
        </w:rPr>
        <w:t>第一部分</w:t>
      </w:r>
      <w:r>
        <w:rPr>
          <w:rFonts w:hint="eastAsia" w:ascii="方正小标宋简体" w:hAnsi="仿宋" w:eastAsia="方正小标宋简体"/>
          <w:sz w:val="44"/>
          <w:szCs w:val="44"/>
          <w:lang w:val="en-US" w:eastAsia="zh-CN"/>
        </w:rPr>
        <w:t xml:space="preserve">  </w:t>
      </w:r>
      <w:r>
        <w:rPr>
          <w:rFonts w:hint="eastAsia" w:ascii="方正小标宋简体" w:hAnsi="仿宋" w:eastAsia="方正小标宋简体"/>
          <w:sz w:val="44"/>
          <w:szCs w:val="44"/>
        </w:rPr>
        <w:t>察隅县上察隅镇中心小学概况</w:t>
      </w:r>
    </w:p>
    <w:p>
      <w:pPr>
        <w:widowControl w:val="0"/>
        <w:wordWrap/>
        <w:snapToGrid/>
        <w:spacing w:line="570" w:lineRule="exact"/>
        <w:ind w:left="0" w:leftChars="0" w:right="0"/>
        <w:textAlignment w:val="auto"/>
        <w:outlineLvl w:val="9"/>
        <w:rPr>
          <w:rFonts w:ascii="仿宋" w:hAnsi="仿宋" w:eastAsia="仿宋"/>
          <w:sz w:val="32"/>
          <w:szCs w:val="32"/>
        </w:rPr>
      </w:pPr>
    </w:p>
    <w:p>
      <w:pPr>
        <w:widowControl w:val="0"/>
        <w:numPr>
          <w:numId w:val="0"/>
        </w:numPr>
        <w:wordWrap/>
        <w:snapToGrid/>
        <w:spacing w:line="570" w:lineRule="exact"/>
        <w:ind w:left="0" w:leftChars="0" w:right="0" w:firstLine="640" w:firstLineChars="200"/>
        <w:textAlignment w:val="auto"/>
        <w:outlineLvl w:val="9"/>
        <w:rPr>
          <w:rFonts w:ascii="黑体" w:hAnsi="黑体" w:eastAsia="黑体"/>
          <w:sz w:val="32"/>
          <w:szCs w:val="32"/>
        </w:rPr>
      </w:pPr>
      <w:r>
        <w:rPr>
          <w:rFonts w:hint="eastAsia" w:ascii="黑体" w:hAnsi="黑体" w:eastAsia="黑体"/>
          <w:sz w:val="32"/>
          <w:szCs w:val="32"/>
          <w:lang w:eastAsia="zh-CN"/>
        </w:rPr>
        <w:t>一、</w:t>
      </w:r>
      <w:r>
        <w:rPr>
          <w:rFonts w:hint="eastAsia" w:ascii="黑体" w:hAnsi="黑体" w:eastAsia="黑体"/>
          <w:sz w:val="32"/>
          <w:szCs w:val="32"/>
        </w:rPr>
        <w:t>主要职能</w:t>
      </w:r>
    </w:p>
    <w:p>
      <w:pPr>
        <w:widowControl w:val="0"/>
        <w:wordWrap/>
        <w:snapToGrid/>
        <w:spacing w:line="570" w:lineRule="exact"/>
        <w:ind w:left="0" w:leftChars="0" w:right="0" w:firstLine="640" w:firstLineChars="200"/>
        <w:textAlignment w:val="auto"/>
        <w:outlineLvl w:val="9"/>
        <w:rPr>
          <w:rFonts w:ascii="仿宋_GB2312" w:eastAsia="仿宋_GB2312"/>
          <w:sz w:val="32"/>
          <w:szCs w:val="32"/>
        </w:rPr>
      </w:pPr>
      <w:r>
        <w:rPr>
          <w:rFonts w:hint="eastAsia" w:ascii="仿宋_GB2312" w:hAnsi="黑体" w:eastAsia="仿宋_GB2312"/>
          <w:sz w:val="32"/>
          <w:szCs w:val="32"/>
        </w:rPr>
        <w:t>认真贯彻落实党和国家的方针、政策，正确执行上级主管部门的决议和指示，全面实施素质教育，培养德、智、体、美等方面全面发展的社会主义事业的建设者和接班人；全面贯彻党的教育方针，做好基础教育，根据教育规律、社会要求和学校实际，组织制定学校发展的远景规划、近期目标、学年和学期各项工作计划以及各项工作指标并组织实施；加强学校的科学化管理，制定和健全各项规章制度，规范办学行为，培养良好校风，逐步实现管理决策的科学化，管理方法的定量化和管理手段的现代化；负责教师队伍建设工作，决定校内教职工的工作安排，组织对教职工进行考核，实施奖惩。制定教师队伍建设规划，不断提高他们的政治素质、文化业务水平和科研水平；领导和组织学校的思想政治工作，把德育工作放在首位；研究思想政治工作的要求、内容、方法和规律，不断加强对学生的思想政治、法制纪律和道德品质教育以及做好管理工作；教育全体教职工做到教书育人、管理育人、服务育人，搞好学校、社会、家庭三结合教育；以教学为中心，保证教学计划的贯彻执行；有计划地参加教研活动，有目的地深入教学第一线，了解教师教学和学生学习情况；加强对财务工作的领导，正确使用各项经费，不断改善办学条件，强化安全工作管理，创造良好的育人环境；加强与党支部的合作，主动接受学校党组织的监督，搞好领导班子的团结和协作；依靠群众办学，实行民主管理和民主监督，定期向家长报告工作，充分发挥家长参与学校民主管理和民主监督的作用；主持学校与学生家长及社会的联系工作和外来工作。搞好校际间的交流，做好与社会各界的联系工作，争取各方面力量对学校的支持；深入了解教学活动，检查督促教学常规的落实，针对教学中存在的问题，采取措施，不断提高教学质量；组织教师的业务学习，制定教师进修计划，定期检查执行情况，做好师资力量的安排和调整工作。</w:t>
      </w:r>
    </w:p>
    <w:p>
      <w:pPr>
        <w:widowControl w:val="0"/>
        <w:wordWrap/>
        <w:snapToGrid/>
        <w:spacing w:line="570" w:lineRule="exact"/>
        <w:ind w:left="0" w:leftChars="0" w:right="0" w:firstLine="640" w:firstLineChars="200"/>
        <w:textAlignment w:val="auto"/>
        <w:outlineLvl w:val="9"/>
        <w:rPr>
          <w:rFonts w:ascii="黑体" w:hAnsi="黑体" w:eastAsia="黑体"/>
          <w:sz w:val="32"/>
          <w:szCs w:val="32"/>
        </w:rPr>
      </w:pPr>
      <w:r>
        <w:rPr>
          <w:rFonts w:hint="eastAsia" w:ascii="黑体" w:hAnsi="黑体" w:eastAsia="黑体"/>
          <w:sz w:val="32"/>
          <w:szCs w:val="32"/>
        </w:rPr>
        <w:t>二、部门预算单位构成</w:t>
      </w:r>
    </w:p>
    <w:p>
      <w:pPr>
        <w:widowControl w:val="0"/>
        <w:wordWrap/>
        <w:snapToGrid/>
        <w:spacing w:line="570" w:lineRule="exact"/>
        <w:ind w:left="0" w:leftChars="0" w:right="0" w:firstLine="640" w:firstLineChars="200"/>
        <w:textAlignment w:val="auto"/>
        <w:outlineLvl w:val="9"/>
        <w:rPr>
          <w:rFonts w:hint="eastAsia" w:ascii="仿宋_GB2312" w:hAnsi="黑体" w:eastAsia="仿宋_GB2312"/>
          <w:sz w:val="32"/>
          <w:szCs w:val="32"/>
        </w:rPr>
      </w:pPr>
      <w:r>
        <w:rPr>
          <w:rFonts w:hint="eastAsia" w:ascii="仿宋_GB2312" w:hAnsi="黑体" w:eastAsia="仿宋_GB2312"/>
          <w:sz w:val="32"/>
          <w:szCs w:val="32"/>
        </w:rPr>
        <w:t>察隅县上察隅镇中心小学设有教务处、德育室、少先队辅导员、教研室、校长办公室、工会。</w:t>
      </w:r>
    </w:p>
    <w:p>
      <w:pPr>
        <w:widowControl w:val="0"/>
        <w:wordWrap/>
        <w:snapToGrid/>
        <w:spacing w:line="570" w:lineRule="exact"/>
        <w:ind w:left="0" w:leftChars="0" w:right="0"/>
        <w:textAlignment w:val="auto"/>
        <w:outlineLvl w:val="9"/>
        <w:rPr>
          <w:rFonts w:ascii="仿宋" w:hAnsi="仿宋" w:eastAsia="仿宋"/>
          <w:sz w:val="32"/>
          <w:szCs w:val="32"/>
        </w:rPr>
      </w:pPr>
    </w:p>
    <w:p>
      <w:pPr>
        <w:widowControl w:val="0"/>
        <w:wordWrap/>
        <w:snapToGrid/>
        <w:spacing w:line="570" w:lineRule="exact"/>
        <w:ind w:left="0" w:leftChars="0" w:right="0"/>
        <w:jc w:val="center"/>
        <w:textAlignment w:val="auto"/>
        <w:outlineLvl w:val="9"/>
        <w:rPr>
          <w:rFonts w:ascii="黑体" w:hAnsi="黑体" w:eastAsia="黑体"/>
          <w:sz w:val="44"/>
          <w:szCs w:val="44"/>
        </w:rPr>
      </w:pPr>
      <w:r>
        <w:rPr>
          <w:rFonts w:hint="eastAsia" w:ascii="方正小标宋简体" w:hAnsi="仿宋" w:eastAsia="方正小标宋简体"/>
          <w:sz w:val="44"/>
          <w:szCs w:val="44"/>
        </w:rPr>
        <w:t>第二部分</w:t>
      </w:r>
      <w:r>
        <w:rPr>
          <w:rFonts w:hint="eastAsia" w:ascii="方正小标宋简体" w:hAnsi="仿宋" w:eastAsia="方正小标宋简体"/>
          <w:sz w:val="44"/>
          <w:szCs w:val="44"/>
          <w:lang w:val="en-US" w:eastAsia="zh-CN"/>
        </w:rPr>
        <w:t xml:space="preserve">  </w:t>
      </w:r>
      <w:r>
        <w:rPr>
          <w:rFonts w:hint="eastAsia" w:ascii="方正小标宋简体" w:hAnsi="仿宋" w:eastAsia="方正小标宋简体"/>
          <w:sz w:val="44"/>
          <w:szCs w:val="44"/>
        </w:rPr>
        <w:t>察隅县上察隅镇中心小学202</w:t>
      </w:r>
      <w:r>
        <w:rPr>
          <w:rFonts w:hint="eastAsia" w:ascii="方正小标宋简体" w:hAnsi="仿宋" w:eastAsia="方正小标宋简体"/>
          <w:sz w:val="44"/>
          <w:szCs w:val="44"/>
          <w:lang w:val="en-US" w:eastAsia="zh-CN"/>
        </w:rPr>
        <w:t>1</w:t>
      </w:r>
      <w:r>
        <w:rPr>
          <w:rFonts w:hint="eastAsia" w:ascii="方正小标宋简体" w:hAnsi="仿宋" w:eastAsia="方正小标宋简体"/>
          <w:sz w:val="44"/>
          <w:szCs w:val="44"/>
        </w:rPr>
        <w:t>年度预算明细表（表格详见附件）</w:t>
      </w:r>
    </w:p>
    <w:p>
      <w:pPr>
        <w:widowControl w:val="0"/>
        <w:wordWrap/>
        <w:snapToGrid/>
        <w:spacing w:line="570" w:lineRule="exact"/>
        <w:ind w:left="0" w:leftChars="0" w:right="0"/>
        <w:jc w:val="center"/>
        <w:textAlignment w:val="auto"/>
        <w:outlineLvl w:val="9"/>
        <w:rPr>
          <w:rFonts w:ascii="黑体" w:hAnsi="黑体" w:eastAsia="黑体"/>
          <w:sz w:val="44"/>
          <w:szCs w:val="44"/>
        </w:rPr>
      </w:pPr>
    </w:p>
    <w:p>
      <w:pPr>
        <w:widowControl w:val="0"/>
        <w:wordWrap/>
        <w:snapToGrid/>
        <w:spacing w:line="570" w:lineRule="exact"/>
        <w:ind w:left="0" w:leftChars="0" w:right="0"/>
        <w:jc w:val="center"/>
        <w:textAlignment w:val="auto"/>
        <w:outlineLvl w:val="9"/>
        <w:rPr>
          <w:rFonts w:ascii="方正小标宋简体" w:hAnsi="仿宋" w:eastAsia="方正小标宋简体"/>
          <w:sz w:val="44"/>
          <w:szCs w:val="44"/>
        </w:rPr>
      </w:pPr>
      <w:r>
        <w:rPr>
          <w:rFonts w:hint="eastAsia" w:ascii="方正小标宋简体" w:hAnsi="仿宋" w:eastAsia="方正小标宋简体"/>
          <w:sz w:val="44"/>
          <w:szCs w:val="44"/>
        </w:rPr>
        <w:t>第三部分</w:t>
      </w:r>
      <w:r>
        <w:rPr>
          <w:rFonts w:hint="eastAsia" w:ascii="方正小标宋简体" w:hAnsi="仿宋" w:eastAsia="方正小标宋简体"/>
          <w:sz w:val="44"/>
          <w:szCs w:val="44"/>
          <w:lang w:val="en-US" w:eastAsia="zh-CN"/>
        </w:rPr>
        <w:t xml:space="preserve">  </w:t>
      </w:r>
      <w:r>
        <w:rPr>
          <w:rFonts w:hint="eastAsia" w:ascii="方正小标宋简体" w:hAnsi="仿宋" w:eastAsia="方正小标宋简体"/>
          <w:sz w:val="44"/>
          <w:szCs w:val="44"/>
        </w:rPr>
        <w:t>察隅县上察隅镇中心小学202</w:t>
      </w:r>
      <w:r>
        <w:rPr>
          <w:rFonts w:hint="eastAsia" w:ascii="方正小标宋简体" w:hAnsi="仿宋" w:eastAsia="方正小标宋简体"/>
          <w:sz w:val="44"/>
          <w:szCs w:val="44"/>
          <w:lang w:val="en-US" w:eastAsia="zh-CN"/>
        </w:rPr>
        <w:t>1</w:t>
      </w:r>
      <w:r>
        <w:rPr>
          <w:rFonts w:hint="eastAsia" w:ascii="方正小标宋简体" w:hAnsi="仿宋" w:eastAsia="方正小标宋简体"/>
          <w:sz w:val="44"/>
          <w:szCs w:val="44"/>
        </w:rPr>
        <w:t>年度部门预算数据分析</w:t>
      </w:r>
    </w:p>
    <w:p>
      <w:pPr>
        <w:widowControl w:val="0"/>
        <w:wordWrap/>
        <w:snapToGrid/>
        <w:spacing w:line="570" w:lineRule="exact"/>
        <w:ind w:left="0" w:leftChars="0" w:right="0" w:firstLine="640" w:firstLineChars="200"/>
        <w:textAlignment w:val="auto"/>
        <w:outlineLvl w:val="9"/>
        <w:rPr>
          <w:rFonts w:hint="eastAsia" w:ascii="黑体" w:hAnsi="黑体" w:eastAsia="黑体"/>
          <w:sz w:val="32"/>
          <w:szCs w:val="32"/>
        </w:rPr>
      </w:pPr>
    </w:p>
    <w:p>
      <w:pPr>
        <w:widowControl w:val="0"/>
        <w:wordWrap/>
        <w:snapToGrid/>
        <w:spacing w:line="570" w:lineRule="exact"/>
        <w:ind w:left="0" w:leftChars="0" w:right="0" w:firstLine="640" w:firstLineChars="200"/>
        <w:textAlignment w:val="auto"/>
        <w:outlineLvl w:val="9"/>
        <w:rPr>
          <w:rFonts w:ascii="黑体" w:hAnsi="黑体" w:eastAsia="黑体"/>
          <w:sz w:val="32"/>
          <w:szCs w:val="32"/>
        </w:rPr>
      </w:pPr>
      <w:r>
        <w:rPr>
          <w:rFonts w:hint="eastAsia" w:ascii="黑体" w:hAnsi="黑体" w:eastAsia="黑体"/>
          <w:sz w:val="32"/>
          <w:szCs w:val="32"/>
        </w:rPr>
        <w:t>一、202</w:t>
      </w:r>
      <w:r>
        <w:rPr>
          <w:rFonts w:hint="eastAsia" w:ascii="黑体" w:hAnsi="黑体" w:eastAsia="黑体"/>
          <w:sz w:val="32"/>
          <w:szCs w:val="32"/>
          <w:lang w:val="en-US" w:eastAsia="zh-CN"/>
        </w:rPr>
        <w:t>1</w:t>
      </w:r>
      <w:r>
        <w:rPr>
          <w:rFonts w:hint="eastAsia" w:ascii="黑体" w:hAnsi="黑体" w:eastAsia="黑体"/>
          <w:sz w:val="32"/>
          <w:szCs w:val="32"/>
        </w:rPr>
        <w:t>年度部门收支总表的说明</w:t>
      </w:r>
    </w:p>
    <w:p>
      <w:pPr>
        <w:widowControl w:val="0"/>
        <w:wordWrap/>
        <w:adjustRightInd/>
        <w:snapToGrid/>
        <w:spacing w:line="570" w:lineRule="exact"/>
        <w:ind w:left="0" w:leftChars="0" w:right="0" w:firstLine="640" w:firstLineChars="200"/>
        <w:textAlignment w:val="auto"/>
        <w:outlineLvl w:val="9"/>
        <w:rPr>
          <w:rFonts w:hint="eastAsia" w:ascii="仿宋_GB2312" w:hAnsi="黑体" w:eastAsia="仿宋_GB2312"/>
          <w:sz w:val="32"/>
          <w:szCs w:val="32"/>
        </w:rPr>
      </w:pPr>
      <w:r>
        <w:rPr>
          <w:rFonts w:hint="eastAsia" w:ascii="仿宋_GB2312" w:hAnsi="黑体" w:eastAsia="仿宋_GB2312"/>
          <w:sz w:val="32"/>
          <w:szCs w:val="32"/>
        </w:rPr>
        <w:t>202</w:t>
      </w:r>
      <w:r>
        <w:rPr>
          <w:rFonts w:hint="eastAsia" w:ascii="仿宋_GB2312" w:hAnsi="黑体" w:eastAsia="仿宋_GB2312"/>
          <w:sz w:val="32"/>
          <w:szCs w:val="32"/>
          <w:lang w:val="en-US" w:eastAsia="zh-CN"/>
        </w:rPr>
        <w:t>1</w:t>
      </w:r>
      <w:r>
        <w:rPr>
          <w:rFonts w:hint="eastAsia" w:ascii="仿宋_GB2312" w:hAnsi="黑体" w:eastAsia="仿宋_GB2312"/>
          <w:sz w:val="32"/>
          <w:szCs w:val="32"/>
        </w:rPr>
        <w:t>年度收支总预算</w:t>
      </w:r>
      <w:r>
        <w:rPr>
          <w:rFonts w:hint="eastAsia" w:ascii="仿宋" w:hAnsi="仿宋" w:eastAsia="仿宋"/>
          <w:sz w:val="32"/>
          <w:szCs w:val="32"/>
        </w:rPr>
        <w:t>1172.13</w:t>
      </w:r>
      <w:r>
        <w:rPr>
          <w:rFonts w:hint="eastAsia" w:ascii="仿宋_GB2312" w:hAnsi="黑体" w:eastAsia="仿宋_GB2312"/>
          <w:sz w:val="32"/>
          <w:szCs w:val="32"/>
        </w:rPr>
        <w:t>万元。收入包括：一般公共预算拨款收入</w:t>
      </w:r>
      <w:r>
        <w:rPr>
          <w:rFonts w:hint="eastAsia" w:ascii="仿宋_GB2312" w:hAnsi="黑体" w:eastAsia="仿宋_GB2312"/>
          <w:sz w:val="32"/>
          <w:szCs w:val="32"/>
          <w:lang w:val="en-US" w:eastAsia="zh-CN"/>
        </w:rPr>
        <w:t>1113.5</w:t>
      </w:r>
      <w:r>
        <w:rPr>
          <w:rFonts w:hint="eastAsia" w:ascii="仿宋_GB2312" w:hAnsi="黑体" w:eastAsia="仿宋_GB2312"/>
          <w:sz w:val="32"/>
          <w:szCs w:val="32"/>
        </w:rPr>
        <w:t>万元；支出包括：教育支出</w:t>
      </w:r>
      <w:r>
        <w:rPr>
          <w:rFonts w:hint="eastAsia" w:ascii="仿宋_GB2312" w:hAnsi="黑体" w:eastAsia="仿宋_GB2312"/>
          <w:sz w:val="32"/>
          <w:szCs w:val="32"/>
          <w:lang w:val="en-US" w:eastAsia="zh-CN"/>
        </w:rPr>
        <w:t>992.77</w:t>
      </w:r>
      <w:r>
        <w:rPr>
          <w:rFonts w:hint="eastAsia" w:ascii="仿宋_GB2312" w:hAnsi="黑体" w:eastAsia="仿宋_GB2312"/>
          <w:sz w:val="32"/>
          <w:szCs w:val="32"/>
        </w:rPr>
        <w:t>万元、社会保障和就业支出82.17万元</w:t>
      </w:r>
      <w:r>
        <w:rPr>
          <w:rFonts w:hint="eastAsia" w:ascii="仿宋_GB2312" w:hAnsi="黑体" w:eastAsia="仿宋_GB2312"/>
          <w:sz w:val="32"/>
          <w:szCs w:val="32"/>
          <w:lang w:eastAsia="zh-CN"/>
        </w:rPr>
        <w:t>、卫生健康支出43.23万元、住房保障支出53.96万元</w:t>
      </w:r>
      <w:r>
        <w:rPr>
          <w:rFonts w:hint="eastAsia" w:ascii="仿宋_GB2312" w:hAnsi="黑体" w:eastAsia="仿宋_GB2312"/>
          <w:sz w:val="32"/>
          <w:szCs w:val="32"/>
        </w:rPr>
        <w:t>。</w:t>
      </w:r>
    </w:p>
    <w:p>
      <w:pPr>
        <w:widowControl w:val="0"/>
        <w:wordWrap/>
        <w:snapToGrid/>
        <w:spacing w:line="570" w:lineRule="exact"/>
        <w:ind w:left="0" w:leftChars="0" w:right="0" w:firstLine="640" w:firstLineChars="200"/>
        <w:textAlignment w:val="auto"/>
        <w:outlineLvl w:val="9"/>
        <w:rPr>
          <w:rFonts w:ascii="黑体" w:hAnsi="黑体" w:eastAsia="黑体"/>
          <w:sz w:val="32"/>
          <w:szCs w:val="32"/>
        </w:rPr>
      </w:pPr>
      <w:r>
        <w:rPr>
          <w:rFonts w:hint="eastAsia" w:ascii="黑体" w:hAnsi="黑体" w:eastAsia="黑体"/>
          <w:sz w:val="32"/>
          <w:szCs w:val="32"/>
        </w:rPr>
        <w:t>二、202</w:t>
      </w:r>
      <w:r>
        <w:rPr>
          <w:rFonts w:hint="eastAsia" w:ascii="黑体" w:hAnsi="黑体" w:eastAsia="黑体"/>
          <w:sz w:val="32"/>
          <w:szCs w:val="32"/>
          <w:lang w:val="en-US" w:eastAsia="zh-CN"/>
        </w:rPr>
        <w:t>1</w:t>
      </w:r>
      <w:r>
        <w:rPr>
          <w:rFonts w:hint="eastAsia" w:ascii="黑体" w:hAnsi="黑体" w:eastAsia="黑体"/>
          <w:sz w:val="32"/>
          <w:szCs w:val="32"/>
        </w:rPr>
        <w:t>年度部门收入总表的说明</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rPr>
        <w:t>202</w:t>
      </w:r>
      <w:r>
        <w:rPr>
          <w:rFonts w:hint="eastAsia" w:ascii="仿宋_GB2312" w:hAnsi="黑体" w:eastAsia="仿宋_GB2312"/>
          <w:sz w:val="32"/>
          <w:szCs w:val="32"/>
          <w:lang w:val="en-US" w:eastAsia="zh-CN"/>
        </w:rPr>
        <w:t>1</w:t>
      </w:r>
      <w:r>
        <w:rPr>
          <w:rFonts w:hint="eastAsia" w:ascii="仿宋_GB2312" w:hAnsi="黑体" w:eastAsia="仿宋_GB2312"/>
          <w:sz w:val="32"/>
          <w:szCs w:val="32"/>
        </w:rPr>
        <w:t>年度收入预算</w:t>
      </w:r>
      <w:r>
        <w:rPr>
          <w:rFonts w:hint="eastAsia" w:ascii="仿宋" w:hAnsi="仿宋" w:eastAsia="仿宋"/>
          <w:sz w:val="32"/>
          <w:szCs w:val="32"/>
        </w:rPr>
        <w:t>1172.13</w:t>
      </w:r>
      <w:r>
        <w:rPr>
          <w:rFonts w:hint="eastAsia" w:ascii="仿宋_GB2312" w:hAnsi="黑体" w:eastAsia="仿宋_GB2312"/>
          <w:sz w:val="32"/>
          <w:szCs w:val="32"/>
        </w:rPr>
        <w:t>万元，其中：一般公共预算拨款收入</w:t>
      </w:r>
      <w:r>
        <w:rPr>
          <w:rFonts w:hint="eastAsia" w:ascii="仿宋_GB2312" w:hAnsi="黑体" w:eastAsia="仿宋_GB2312"/>
          <w:sz w:val="32"/>
          <w:szCs w:val="32"/>
          <w:lang w:val="en-US" w:eastAsia="zh-CN"/>
        </w:rPr>
        <w:t>1113.5</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95</w:t>
      </w:r>
      <w:r>
        <w:rPr>
          <w:rFonts w:hint="eastAsia" w:ascii="仿宋_GB2312" w:hAnsi="黑体" w:eastAsia="仿宋_GB2312"/>
          <w:sz w:val="32"/>
          <w:szCs w:val="32"/>
        </w:rPr>
        <w:t>%。</w:t>
      </w:r>
      <w:r>
        <w:rPr>
          <w:rFonts w:hint="eastAsia" w:ascii="仿宋_GB2312" w:hAnsi="黑体" w:eastAsia="仿宋_GB2312"/>
          <w:sz w:val="32"/>
          <w:szCs w:val="32"/>
          <w:lang w:eastAsia="zh-CN"/>
        </w:rPr>
        <w:t>总收入较上年增加</w:t>
      </w:r>
      <w:r>
        <w:rPr>
          <w:rFonts w:hint="eastAsia" w:ascii="仿宋_GB2312" w:hAnsi="黑体" w:eastAsia="仿宋_GB2312"/>
          <w:sz w:val="32"/>
          <w:szCs w:val="32"/>
          <w:lang w:val="en-US" w:eastAsia="zh-CN"/>
        </w:rPr>
        <w:t>13%，主要原因</w:t>
      </w:r>
      <w:r>
        <w:rPr>
          <w:rFonts w:hint="eastAsia" w:ascii="仿宋" w:hAnsi="仿宋" w:eastAsia="仿宋"/>
          <w:sz w:val="32"/>
          <w:szCs w:val="32"/>
        </w:rPr>
        <w:t>上年结转58.63万元，学生公用经费增加。</w:t>
      </w:r>
    </w:p>
    <w:p>
      <w:pPr>
        <w:widowControl w:val="0"/>
        <w:wordWrap/>
        <w:snapToGrid/>
        <w:spacing w:line="570" w:lineRule="exact"/>
        <w:ind w:left="0" w:leftChars="0" w:right="0" w:firstLine="640" w:firstLineChars="200"/>
        <w:textAlignment w:val="auto"/>
        <w:outlineLvl w:val="9"/>
        <w:rPr>
          <w:rFonts w:ascii="黑体" w:hAnsi="黑体" w:eastAsia="黑体"/>
          <w:sz w:val="32"/>
          <w:szCs w:val="32"/>
        </w:rPr>
      </w:pPr>
      <w:r>
        <w:rPr>
          <w:rFonts w:hint="eastAsia" w:ascii="黑体" w:hAnsi="黑体" w:eastAsia="黑体"/>
          <w:sz w:val="32"/>
          <w:szCs w:val="32"/>
        </w:rPr>
        <w:t>三、202</w:t>
      </w:r>
      <w:r>
        <w:rPr>
          <w:rFonts w:hint="eastAsia" w:ascii="黑体" w:hAnsi="黑体" w:eastAsia="黑体"/>
          <w:sz w:val="32"/>
          <w:szCs w:val="32"/>
          <w:lang w:val="en-US" w:eastAsia="zh-CN"/>
        </w:rPr>
        <w:t>1</w:t>
      </w:r>
      <w:r>
        <w:rPr>
          <w:rFonts w:hint="eastAsia" w:ascii="黑体" w:hAnsi="黑体" w:eastAsia="黑体"/>
          <w:sz w:val="32"/>
          <w:szCs w:val="32"/>
        </w:rPr>
        <w:t>年度部门支出总表的说明</w:t>
      </w:r>
    </w:p>
    <w:p>
      <w:pPr>
        <w:widowControl w:val="0"/>
        <w:wordWrap/>
        <w:snapToGrid/>
        <w:spacing w:line="570" w:lineRule="exact"/>
        <w:ind w:left="0" w:leftChars="0" w:right="0" w:firstLine="640" w:firstLineChars="200"/>
        <w:textAlignment w:val="auto"/>
        <w:outlineLvl w:val="9"/>
        <w:rPr>
          <w:rFonts w:hint="eastAsia" w:ascii="仿宋" w:hAnsi="仿宋" w:eastAsia="仿宋"/>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年度支出预算</w:t>
      </w:r>
      <w:r>
        <w:rPr>
          <w:rFonts w:hint="eastAsia" w:ascii="仿宋" w:hAnsi="仿宋" w:eastAsia="仿宋"/>
          <w:sz w:val="32"/>
          <w:szCs w:val="32"/>
        </w:rPr>
        <w:t>1172.13</w:t>
      </w:r>
      <w:r>
        <w:rPr>
          <w:rFonts w:hint="eastAsia" w:ascii="仿宋_GB2312" w:hAnsi="仿宋_GB2312" w:eastAsia="仿宋_GB2312" w:cs="仿宋_GB2312"/>
          <w:sz w:val="32"/>
          <w:szCs w:val="32"/>
        </w:rPr>
        <w:t>万元，其中：基本支出</w:t>
      </w:r>
      <w:r>
        <w:rPr>
          <w:rFonts w:hint="eastAsia" w:ascii="仿宋_GB2312" w:hAnsi="仿宋_GB2312" w:eastAsia="仿宋_GB2312" w:cs="仿宋_GB2312"/>
          <w:sz w:val="32"/>
          <w:szCs w:val="32"/>
          <w:lang w:val="en-US" w:eastAsia="zh-CN"/>
        </w:rPr>
        <w:t>732.62</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62</w:t>
      </w:r>
      <w:r>
        <w:rPr>
          <w:rFonts w:hint="eastAsia" w:ascii="仿宋_GB2312" w:hAnsi="仿宋_GB2312" w:eastAsia="仿宋_GB2312" w:cs="仿宋_GB2312"/>
          <w:sz w:val="32"/>
          <w:szCs w:val="32"/>
        </w:rPr>
        <w:t>%；项目支出</w:t>
      </w:r>
      <w:r>
        <w:rPr>
          <w:rFonts w:hint="eastAsia" w:ascii="仿宋" w:hAnsi="仿宋" w:eastAsia="仿宋"/>
          <w:sz w:val="32"/>
          <w:szCs w:val="32"/>
        </w:rPr>
        <w:t>439.51</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38</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总支出较上年增加</w:t>
      </w:r>
      <w:r>
        <w:rPr>
          <w:rFonts w:hint="eastAsia" w:ascii="仿宋_GB2312" w:hAnsi="仿宋_GB2312" w:eastAsia="仿宋_GB2312" w:cs="仿宋_GB2312"/>
          <w:sz w:val="32"/>
          <w:szCs w:val="32"/>
          <w:lang w:val="en-US" w:eastAsia="zh-CN"/>
        </w:rPr>
        <w:t>13%，主要原因为</w:t>
      </w:r>
      <w:r>
        <w:rPr>
          <w:rFonts w:hint="eastAsia" w:ascii="仿宋" w:hAnsi="仿宋" w:eastAsia="仿宋"/>
          <w:sz w:val="32"/>
          <w:szCs w:val="32"/>
        </w:rPr>
        <w:t>上年结转58.63万元，学生公用经费增加。</w:t>
      </w:r>
    </w:p>
    <w:p>
      <w:pPr>
        <w:widowControl w:val="0"/>
        <w:wordWrap/>
        <w:snapToGrid/>
        <w:spacing w:line="570" w:lineRule="exact"/>
        <w:ind w:left="0" w:leftChars="0" w:right="0" w:firstLine="640" w:firstLineChars="200"/>
        <w:textAlignment w:val="auto"/>
        <w:outlineLvl w:val="9"/>
        <w:rPr>
          <w:rFonts w:ascii="黑体" w:hAnsi="黑体" w:eastAsia="黑体"/>
          <w:sz w:val="32"/>
          <w:szCs w:val="32"/>
        </w:rPr>
      </w:pPr>
      <w:r>
        <w:rPr>
          <w:rFonts w:hint="eastAsia" w:ascii="黑体" w:hAnsi="黑体" w:eastAsia="黑体"/>
          <w:sz w:val="32"/>
          <w:szCs w:val="32"/>
        </w:rPr>
        <w:t>四、202</w:t>
      </w:r>
      <w:r>
        <w:rPr>
          <w:rFonts w:hint="eastAsia" w:ascii="黑体" w:hAnsi="黑体" w:eastAsia="黑体"/>
          <w:sz w:val="32"/>
          <w:szCs w:val="32"/>
          <w:lang w:val="en-US" w:eastAsia="zh-CN"/>
        </w:rPr>
        <w:t>1</w:t>
      </w:r>
      <w:r>
        <w:rPr>
          <w:rFonts w:hint="eastAsia" w:ascii="黑体" w:hAnsi="黑体" w:eastAsia="黑体"/>
          <w:sz w:val="32"/>
          <w:szCs w:val="32"/>
        </w:rPr>
        <w:t>年度财政拨款收支总表的说明</w:t>
      </w:r>
    </w:p>
    <w:p>
      <w:pPr>
        <w:widowControl w:val="0"/>
        <w:wordWrap/>
        <w:adjustRightInd/>
        <w:snapToGrid/>
        <w:spacing w:line="570" w:lineRule="exact"/>
        <w:ind w:left="0" w:leftChars="0" w:right="0" w:firstLine="640" w:firstLineChars="200"/>
        <w:textAlignment w:val="auto"/>
        <w:outlineLvl w:val="9"/>
        <w:rPr>
          <w:rFonts w:hint="eastAsia" w:ascii="仿宋_GB2312" w:hAnsi="黑体" w:eastAsia="仿宋_GB2312"/>
          <w:sz w:val="32"/>
          <w:szCs w:val="32"/>
        </w:rPr>
      </w:pPr>
      <w:r>
        <w:rPr>
          <w:rFonts w:hint="eastAsia" w:ascii="仿宋_GB2312" w:hAnsi="黑体" w:eastAsia="仿宋_GB2312"/>
          <w:sz w:val="32"/>
          <w:szCs w:val="32"/>
        </w:rPr>
        <w:t>202</w:t>
      </w:r>
      <w:r>
        <w:rPr>
          <w:rFonts w:hint="eastAsia" w:ascii="仿宋_GB2312" w:hAnsi="黑体" w:eastAsia="仿宋_GB2312"/>
          <w:sz w:val="32"/>
          <w:szCs w:val="32"/>
          <w:lang w:val="en-US" w:eastAsia="zh-CN"/>
        </w:rPr>
        <w:t>1</w:t>
      </w:r>
      <w:r>
        <w:rPr>
          <w:rFonts w:hint="eastAsia" w:ascii="仿宋_GB2312" w:hAnsi="黑体" w:eastAsia="仿宋_GB2312"/>
          <w:sz w:val="32"/>
          <w:szCs w:val="32"/>
        </w:rPr>
        <w:t>年度收支总预算</w:t>
      </w:r>
      <w:r>
        <w:rPr>
          <w:rFonts w:hint="eastAsia" w:ascii="仿宋" w:hAnsi="仿宋" w:eastAsia="仿宋"/>
          <w:sz w:val="32"/>
          <w:szCs w:val="32"/>
        </w:rPr>
        <w:t>1172.13</w:t>
      </w:r>
      <w:r>
        <w:rPr>
          <w:rFonts w:hint="eastAsia" w:ascii="仿宋_GB2312" w:hAnsi="黑体" w:eastAsia="仿宋_GB2312"/>
          <w:sz w:val="32"/>
          <w:szCs w:val="32"/>
        </w:rPr>
        <w:t>万元。收入包括：一般公共预算拨款收入</w:t>
      </w:r>
      <w:r>
        <w:rPr>
          <w:rFonts w:hint="eastAsia" w:ascii="仿宋" w:hAnsi="仿宋" w:eastAsia="仿宋"/>
          <w:sz w:val="32"/>
          <w:szCs w:val="32"/>
        </w:rPr>
        <w:t>1172.13</w:t>
      </w:r>
      <w:r>
        <w:rPr>
          <w:rFonts w:hint="eastAsia" w:ascii="仿宋_GB2312" w:hAnsi="黑体" w:eastAsia="仿宋_GB2312"/>
          <w:sz w:val="32"/>
          <w:szCs w:val="32"/>
        </w:rPr>
        <w:t>万元；支出包括：教育支出</w:t>
      </w:r>
      <w:r>
        <w:rPr>
          <w:rFonts w:hint="eastAsia" w:ascii="仿宋_GB2312" w:hAnsi="黑体" w:eastAsia="仿宋_GB2312"/>
          <w:sz w:val="32"/>
          <w:szCs w:val="32"/>
          <w:lang w:val="en-US" w:eastAsia="zh-CN"/>
        </w:rPr>
        <w:t>992.77</w:t>
      </w:r>
      <w:r>
        <w:rPr>
          <w:rFonts w:hint="eastAsia" w:ascii="仿宋_GB2312" w:hAnsi="黑体" w:eastAsia="仿宋_GB2312"/>
          <w:sz w:val="32"/>
          <w:szCs w:val="32"/>
        </w:rPr>
        <w:t>万元、社会保障和就业支出82.17万元</w:t>
      </w:r>
      <w:r>
        <w:rPr>
          <w:rFonts w:hint="eastAsia" w:ascii="仿宋_GB2312" w:hAnsi="黑体" w:eastAsia="仿宋_GB2312"/>
          <w:sz w:val="32"/>
          <w:szCs w:val="32"/>
          <w:lang w:eastAsia="zh-CN"/>
        </w:rPr>
        <w:t>、卫生健康支出43.23万元、住房保障支出53.96万元</w:t>
      </w:r>
      <w:r>
        <w:rPr>
          <w:rFonts w:hint="eastAsia" w:ascii="仿宋_GB2312" w:hAnsi="黑体" w:eastAsia="仿宋_GB2312"/>
          <w:sz w:val="32"/>
          <w:szCs w:val="32"/>
        </w:rPr>
        <w:t>。</w:t>
      </w:r>
    </w:p>
    <w:p>
      <w:pPr>
        <w:widowControl w:val="0"/>
        <w:wordWrap/>
        <w:snapToGrid/>
        <w:spacing w:line="570" w:lineRule="exact"/>
        <w:ind w:left="0" w:leftChars="0" w:right="0" w:firstLine="640" w:firstLineChars="200"/>
        <w:textAlignment w:val="auto"/>
        <w:outlineLvl w:val="9"/>
        <w:rPr>
          <w:rFonts w:ascii="黑体" w:hAnsi="黑体" w:eastAsia="黑体"/>
          <w:sz w:val="32"/>
          <w:szCs w:val="32"/>
        </w:rPr>
      </w:pPr>
      <w:r>
        <w:rPr>
          <w:rFonts w:hint="eastAsia" w:ascii="黑体" w:hAnsi="黑体" w:eastAsia="黑体"/>
          <w:sz w:val="32"/>
          <w:szCs w:val="32"/>
        </w:rPr>
        <w:t>五、202</w:t>
      </w:r>
      <w:r>
        <w:rPr>
          <w:rFonts w:hint="eastAsia" w:ascii="黑体" w:hAnsi="黑体" w:eastAsia="黑体"/>
          <w:sz w:val="32"/>
          <w:szCs w:val="32"/>
          <w:lang w:val="en-US" w:eastAsia="zh-CN"/>
        </w:rPr>
        <w:t>1</w:t>
      </w:r>
      <w:r>
        <w:rPr>
          <w:rFonts w:hint="eastAsia" w:ascii="黑体" w:hAnsi="黑体" w:eastAsia="黑体"/>
          <w:sz w:val="32"/>
          <w:szCs w:val="32"/>
        </w:rPr>
        <w:t>年度一般公共预算支出表的说明</w:t>
      </w:r>
    </w:p>
    <w:p>
      <w:pPr>
        <w:widowControl w:val="0"/>
        <w:wordWrap/>
        <w:snapToGrid/>
        <w:spacing w:line="570" w:lineRule="exact"/>
        <w:ind w:left="0" w:leftChars="0" w:right="0" w:firstLine="640" w:firstLineChars="200"/>
        <w:textAlignment w:val="auto"/>
        <w:outlineLvl w:val="9"/>
        <w:rPr>
          <w:rFonts w:ascii="楷体" w:hAnsi="楷体" w:eastAsia="楷体"/>
          <w:sz w:val="32"/>
          <w:szCs w:val="32"/>
        </w:rPr>
      </w:pPr>
      <w:r>
        <w:rPr>
          <w:rFonts w:hint="eastAsia" w:ascii="楷体" w:hAnsi="楷体" w:eastAsia="楷体"/>
          <w:sz w:val="32"/>
          <w:szCs w:val="32"/>
        </w:rPr>
        <w:t>（一）一般公共预算当年拨款规模变化情况。</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年度一般公共预算当年拨款</w:t>
      </w:r>
      <w:r>
        <w:rPr>
          <w:rFonts w:hint="eastAsia" w:ascii="仿宋" w:hAnsi="仿宋" w:eastAsia="仿宋"/>
          <w:sz w:val="32"/>
          <w:szCs w:val="32"/>
        </w:rPr>
        <w:t>1172.13</w:t>
      </w:r>
      <w:r>
        <w:rPr>
          <w:rFonts w:hint="eastAsia" w:ascii="仿宋_GB2312" w:hAnsi="仿宋_GB2312" w:eastAsia="仿宋_GB2312" w:cs="仿宋_GB2312"/>
          <w:sz w:val="32"/>
          <w:szCs w:val="32"/>
        </w:rPr>
        <w:t>万元</w:t>
      </w:r>
      <w:r>
        <w:rPr>
          <w:rFonts w:hint="eastAsia" w:ascii="仿宋" w:hAnsi="仿宋" w:eastAsia="仿宋"/>
          <w:sz w:val="32"/>
          <w:szCs w:val="32"/>
        </w:rPr>
        <w:t>,比20</w:t>
      </w:r>
      <w:r>
        <w:rPr>
          <w:rFonts w:ascii="仿宋" w:hAnsi="仿宋" w:eastAsia="仿宋"/>
          <w:sz w:val="32"/>
          <w:szCs w:val="32"/>
        </w:rPr>
        <w:t>20</w:t>
      </w:r>
      <w:r>
        <w:rPr>
          <w:rFonts w:hint="eastAsia" w:ascii="仿宋" w:hAnsi="仿宋" w:eastAsia="仿宋"/>
          <w:sz w:val="32"/>
          <w:szCs w:val="32"/>
        </w:rPr>
        <w:t xml:space="preserve"> 年执行数增加231.07万元，主要原因：上年结转58.63万元，学生公用经费增加</w:t>
      </w:r>
      <w:r>
        <w:rPr>
          <w:rFonts w:hint="eastAsia" w:ascii="仿宋_GB2312" w:hAnsi="仿宋_GB2312" w:eastAsia="仿宋_GB2312" w:cs="仿宋_GB2312"/>
          <w:sz w:val="32"/>
          <w:szCs w:val="32"/>
        </w:rPr>
        <w:t>。</w:t>
      </w:r>
    </w:p>
    <w:p>
      <w:pPr>
        <w:widowControl w:val="0"/>
        <w:wordWrap/>
        <w:snapToGrid/>
        <w:spacing w:line="570" w:lineRule="exact"/>
        <w:ind w:left="0" w:leftChars="0" w:right="0" w:firstLine="640" w:firstLineChars="200"/>
        <w:textAlignment w:val="auto"/>
        <w:outlineLvl w:val="9"/>
        <w:rPr>
          <w:rFonts w:ascii="楷体" w:hAnsi="楷体" w:eastAsia="楷体"/>
          <w:sz w:val="32"/>
          <w:szCs w:val="32"/>
        </w:rPr>
      </w:pPr>
      <w:r>
        <w:rPr>
          <w:rFonts w:hint="eastAsia" w:ascii="楷体" w:hAnsi="楷体" w:eastAsia="楷体"/>
          <w:sz w:val="32"/>
          <w:szCs w:val="32"/>
        </w:rPr>
        <w:t>（二）一般公共预算当年拨款结构情况。</w:t>
      </w:r>
    </w:p>
    <w:p>
      <w:pPr>
        <w:widowControl w:val="0"/>
        <w:wordWrap/>
        <w:adjustRightInd/>
        <w:snapToGrid/>
        <w:spacing w:line="570" w:lineRule="exact"/>
        <w:ind w:left="0" w:leftChars="0" w:right="0" w:firstLine="640" w:firstLineChars="200"/>
        <w:textAlignment w:val="auto"/>
        <w:outlineLvl w:val="9"/>
        <w:rPr>
          <w:rFonts w:hint="eastAsia" w:ascii="仿宋_GB2312" w:hAnsi="黑体" w:eastAsia="仿宋_GB2312"/>
          <w:sz w:val="32"/>
          <w:szCs w:val="32"/>
        </w:rPr>
      </w:pPr>
      <w:r>
        <w:rPr>
          <w:rFonts w:hint="eastAsia" w:ascii="仿宋_GB2312" w:hAnsi="黑体" w:eastAsia="仿宋_GB2312"/>
          <w:sz w:val="32"/>
          <w:szCs w:val="32"/>
        </w:rPr>
        <w:t>202</w:t>
      </w:r>
      <w:r>
        <w:rPr>
          <w:rFonts w:hint="eastAsia" w:ascii="仿宋_GB2312" w:hAnsi="黑体" w:eastAsia="仿宋_GB2312"/>
          <w:sz w:val="32"/>
          <w:szCs w:val="32"/>
          <w:lang w:val="en-US" w:eastAsia="zh-CN"/>
        </w:rPr>
        <w:t>1</w:t>
      </w:r>
      <w:r>
        <w:rPr>
          <w:rFonts w:hint="eastAsia" w:ascii="仿宋_GB2312" w:hAnsi="黑体" w:eastAsia="仿宋_GB2312"/>
          <w:sz w:val="32"/>
          <w:szCs w:val="32"/>
        </w:rPr>
        <w:t>年度一般公共预算当年拨款教育支出</w:t>
      </w:r>
      <w:r>
        <w:rPr>
          <w:rFonts w:hint="eastAsia" w:ascii="仿宋" w:hAnsi="仿宋" w:eastAsia="仿宋"/>
          <w:sz w:val="32"/>
          <w:szCs w:val="32"/>
        </w:rPr>
        <w:t>1172.13</w:t>
      </w:r>
      <w:r>
        <w:rPr>
          <w:rFonts w:hint="eastAsia" w:ascii="仿宋_GB2312" w:hAnsi="黑体" w:eastAsia="仿宋_GB2312"/>
          <w:sz w:val="32"/>
          <w:szCs w:val="32"/>
        </w:rPr>
        <w:t>万元，社会保障和就业支出82.17万元</w:t>
      </w:r>
      <w:r>
        <w:rPr>
          <w:rFonts w:hint="eastAsia" w:ascii="仿宋_GB2312" w:hAnsi="黑体" w:eastAsia="仿宋_GB2312"/>
          <w:sz w:val="32"/>
          <w:szCs w:val="32"/>
          <w:lang w:eastAsia="zh-CN"/>
        </w:rPr>
        <w:t>，卫生健康支出43.23万元，住房保障支出53.96万元。</w:t>
      </w:r>
      <w:r>
        <w:rPr>
          <w:rFonts w:hint="eastAsia" w:ascii="仿宋_GB2312" w:hAnsi="黑体" w:eastAsia="仿宋_GB2312"/>
          <w:sz w:val="32"/>
          <w:szCs w:val="32"/>
        </w:rPr>
        <w:t>基本支出</w:t>
      </w:r>
      <w:r>
        <w:rPr>
          <w:rFonts w:hint="eastAsia" w:ascii="仿宋_GB2312" w:hAnsi="黑体" w:eastAsia="仿宋_GB2312"/>
          <w:sz w:val="32"/>
          <w:szCs w:val="32"/>
          <w:lang w:val="en-US" w:eastAsia="zh-CN"/>
        </w:rPr>
        <w:t>732.62</w:t>
      </w:r>
      <w:r>
        <w:rPr>
          <w:rFonts w:hint="eastAsia" w:ascii="仿宋_GB2312" w:hAnsi="黑体" w:eastAsia="仿宋_GB2312"/>
          <w:sz w:val="32"/>
          <w:szCs w:val="32"/>
        </w:rPr>
        <w:t>万元；项目支出</w:t>
      </w:r>
      <w:r>
        <w:rPr>
          <w:rFonts w:hint="eastAsia" w:ascii="仿宋_GB2312" w:hAnsi="黑体" w:eastAsia="仿宋_GB2312"/>
          <w:sz w:val="32"/>
          <w:szCs w:val="32"/>
          <w:lang w:val="en-US" w:eastAsia="zh-CN"/>
        </w:rPr>
        <w:t>439.51</w:t>
      </w:r>
      <w:r>
        <w:rPr>
          <w:rFonts w:hint="eastAsia" w:ascii="仿宋_GB2312" w:hAnsi="黑体" w:eastAsia="仿宋_GB2312"/>
          <w:sz w:val="32"/>
          <w:szCs w:val="32"/>
        </w:rPr>
        <w:t>万元。</w:t>
      </w:r>
    </w:p>
    <w:p>
      <w:pPr>
        <w:widowControl w:val="0"/>
        <w:wordWrap/>
        <w:snapToGrid/>
        <w:spacing w:line="570" w:lineRule="exact"/>
        <w:ind w:left="0" w:leftChars="0" w:right="0" w:firstLine="640" w:firstLineChars="200"/>
        <w:textAlignment w:val="auto"/>
        <w:outlineLvl w:val="9"/>
        <w:rPr>
          <w:rFonts w:ascii="楷体" w:hAnsi="楷体" w:eastAsia="楷体"/>
          <w:sz w:val="32"/>
          <w:szCs w:val="32"/>
        </w:rPr>
      </w:pPr>
      <w:r>
        <w:rPr>
          <w:rFonts w:hint="eastAsia" w:ascii="楷体" w:hAnsi="楷体" w:eastAsia="楷体"/>
          <w:sz w:val="32"/>
          <w:szCs w:val="32"/>
        </w:rPr>
        <w:t>（三）一般公共预算当年拨款具体使用情况。</w:t>
      </w:r>
    </w:p>
    <w:p>
      <w:pPr>
        <w:widowControl w:val="0"/>
        <w:wordWrap/>
        <w:snapToGrid/>
        <w:spacing w:line="570" w:lineRule="exact"/>
        <w:ind w:left="0" w:leftChars="0"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年度一般公共预算当年拨款支出</w:t>
      </w:r>
      <w:r>
        <w:rPr>
          <w:rFonts w:hint="eastAsia" w:ascii="仿宋" w:hAnsi="仿宋" w:eastAsia="仿宋"/>
          <w:sz w:val="32"/>
          <w:szCs w:val="32"/>
        </w:rPr>
        <w:t>1172.1</w:t>
      </w:r>
      <w:r>
        <w:rPr>
          <w:rFonts w:hint="eastAsia" w:ascii="仿宋" w:hAnsi="仿宋" w:eastAsia="仿宋"/>
          <w:sz w:val="32"/>
          <w:szCs w:val="32"/>
          <w:lang w:val="en-US" w:eastAsia="zh-CN"/>
        </w:rPr>
        <w:t>3</w:t>
      </w:r>
      <w:r>
        <w:rPr>
          <w:rFonts w:hint="eastAsia" w:ascii="仿宋_GB2312" w:hAnsi="仿宋_GB2312" w:eastAsia="仿宋_GB2312" w:cs="仿宋_GB2312"/>
          <w:sz w:val="32"/>
          <w:szCs w:val="32"/>
        </w:rPr>
        <w:t>万元。其中：</w:t>
      </w:r>
    </w:p>
    <w:p>
      <w:pPr>
        <w:widowControl w:val="0"/>
        <w:wordWrap/>
        <w:snapToGrid/>
        <w:spacing w:line="570" w:lineRule="exact"/>
        <w:ind w:left="0" w:leftChars="0"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工资福利支出774.7万元，其中：</w:t>
      </w:r>
      <w:r>
        <w:rPr>
          <w:rFonts w:hint="eastAsia" w:ascii="仿宋_GB2312" w:hAnsi="黑体" w:eastAsia="仿宋_GB2312"/>
          <w:sz w:val="32"/>
          <w:szCs w:val="32"/>
        </w:rPr>
        <w:t>基本工资597.98</w:t>
      </w:r>
      <w:r>
        <w:rPr>
          <w:rFonts w:hint="eastAsia" w:ascii="仿宋_GB2312" w:hAnsi="黑体" w:eastAsia="仿宋_GB2312"/>
          <w:sz w:val="32"/>
          <w:szCs w:val="32"/>
          <w:lang w:eastAsia="zh-CN"/>
        </w:rPr>
        <w:t>万元，</w:t>
      </w:r>
      <w:r>
        <w:rPr>
          <w:rFonts w:hint="eastAsia" w:ascii="仿宋_GB2312" w:hAnsi="仿宋_GB2312" w:eastAsia="仿宋_GB2312" w:cs="仿宋_GB2312"/>
          <w:sz w:val="32"/>
          <w:szCs w:val="32"/>
        </w:rPr>
        <w:t>财政对其他基本养老保险基金的补助79.53万元，财政对职工基本医疗保险基金的补助为43.23万元，住房公积金的补助为53.96万元。</w:t>
      </w:r>
    </w:p>
    <w:p>
      <w:pPr>
        <w:widowControl w:val="0"/>
        <w:wordWrap/>
        <w:snapToGrid/>
        <w:spacing w:line="570" w:lineRule="exact"/>
        <w:ind w:left="0" w:leftChars="0"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基本支出</w:t>
      </w:r>
      <w:r>
        <w:rPr>
          <w:rFonts w:hint="eastAsia" w:ascii="仿宋_GB2312" w:hAnsi="仿宋_GB2312" w:eastAsia="仿宋_GB2312" w:cs="仿宋_GB2312"/>
          <w:sz w:val="32"/>
          <w:szCs w:val="32"/>
          <w:lang w:val="en-US" w:eastAsia="zh-CN"/>
        </w:rPr>
        <w:t>732.62</w:t>
      </w:r>
      <w:r>
        <w:rPr>
          <w:rFonts w:hint="eastAsia" w:ascii="仿宋_GB2312" w:hAnsi="仿宋_GB2312" w:eastAsia="仿宋_GB2312" w:cs="仿宋_GB2312"/>
          <w:sz w:val="32"/>
          <w:szCs w:val="32"/>
        </w:rPr>
        <w:t>万元。其中：普通教育（小学教育）支出553.26万元</w:t>
      </w:r>
      <w:r>
        <w:rPr>
          <w:rFonts w:hint="eastAsia" w:ascii="仿宋_GB2312" w:hAnsi="仿宋_GB2312" w:eastAsia="仿宋_GB2312" w:cs="仿宋_GB2312"/>
          <w:sz w:val="32"/>
          <w:szCs w:val="32"/>
          <w:lang w:eastAsia="zh-CN"/>
        </w:rPr>
        <w:t>，</w:t>
      </w:r>
      <w:r>
        <w:rPr>
          <w:rFonts w:hint="eastAsia" w:ascii="仿宋_GB2312" w:hAnsi="黑体" w:eastAsia="仿宋_GB2312"/>
          <w:sz w:val="32"/>
          <w:szCs w:val="32"/>
        </w:rPr>
        <w:t>社会保障和就业支出82.17万元</w:t>
      </w:r>
      <w:r>
        <w:rPr>
          <w:rFonts w:hint="eastAsia" w:ascii="仿宋_GB2312" w:hAnsi="黑体" w:eastAsia="仿宋_GB2312"/>
          <w:sz w:val="32"/>
          <w:szCs w:val="32"/>
          <w:lang w:eastAsia="zh-CN"/>
        </w:rPr>
        <w:t>，卫生健康支出43.23万元，住房保障支出53.96万元</w:t>
      </w:r>
      <w:r>
        <w:rPr>
          <w:rFonts w:hint="eastAsia" w:ascii="仿宋_GB2312" w:hAnsi="仿宋_GB2312" w:eastAsia="仿宋_GB2312" w:cs="仿宋_GB2312"/>
          <w:sz w:val="32"/>
          <w:szCs w:val="32"/>
        </w:rPr>
        <w:t>。</w:t>
      </w:r>
    </w:p>
    <w:p>
      <w:pPr>
        <w:widowControl w:val="0"/>
        <w:wordWrap/>
        <w:snapToGrid/>
        <w:spacing w:line="570" w:lineRule="exact"/>
        <w:ind w:left="0" w:leftChars="0"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项目支出439.51万元。其中：普通教育（小学教育）支出439.51万元。</w:t>
      </w:r>
    </w:p>
    <w:p>
      <w:pPr>
        <w:widowControl w:val="0"/>
        <w:wordWrap/>
        <w:snapToGrid/>
        <w:spacing w:line="570" w:lineRule="exact"/>
        <w:ind w:left="0" w:leftChars="0" w:right="0" w:firstLine="640" w:firstLineChars="200"/>
        <w:textAlignment w:val="auto"/>
        <w:outlineLvl w:val="9"/>
        <w:rPr>
          <w:rFonts w:ascii="黑体" w:hAnsi="黑体" w:eastAsia="黑体"/>
          <w:sz w:val="32"/>
          <w:szCs w:val="32"/>
        </w:rPr>
      </w:pPr>
      <w:r>
        <w:rPr>
          <w:rFonts w:hint="eastAsia" w:ascii="黑体" w:hAnsi="黑体" w:eastAsia="黑体"/>
          <w:sz w:val="32"/>
          <w:szCs w:val="32"/>
        </w:rPr>
        <w:t>六、202</w:t>
      </w:r>
      <w:r>
        <w:rPr>
          <w:rFonts w:hint="eastAsia" w:ascii="黑体" w:hAnsi="黑体" w:eastAsia="黑体"/>
          <w:sz w:val="32"/>
          <w:szCs w:val="32"/>
          <w:lang w:val="en-US" w:eastAsia="zh-CN"/>
        </w:rPr>
        <w:t>1</w:t>
      </w:r>
      <w:r>
        <w:rPr>
          <w:rFonts w:hint="eastAsia" w:ascii="黑体" w:hAnsi="黑体" w:eastAsia="黑体"/>
          <w:sz w:val="32"/>
          <w:szCs w:val="32"/>
        </w:rPr>
        <w:t>一般公共预算基本支出表的说明</w:t>
      </w:r>
    </w:p>
    <w:p>
      <w:pPr>
        <w:widowControl w:val="0"/>
        <w:wordWrap/>
        <w:snapToGrid/>
        <w:spacing w:line="570" w:lineRule="exact"/>
        <w:ind w:left="0" w:leftChars="0"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年一般公共预算基本支出</w:t>
      </w:r>
      <w:r>
        <w:rPr>
          <w:rFonts w:hint="eastAsia" w:ascii="仿宋" w:hAnsi="仿宋" w:eastAsia="仿宋"/>
          <w:sz w:val="32"/>
          <w:szCs w:val="32"/>
        </w:rPr>
        <w:t>1172.1</w:t>
      </w:r>
      <w:r>
        <w:rPr>
          <w:rFonts w:hint="eastAsia" w:ascii="仿宋" w:hAnsi="仿宋" w:eastAsia="仿宋"/>
          <w:sz w:val="32"/>
          <w:szCs w:val="32"/>
          <w:lang w:val="en-US" w:eastAsia="zh-CN"/>
        </w:rPr>
        <w:t>3</w:t>
      </w:r>
      <w:r>
        <w:rPr>
          <w:rFonts w:hint="eastAsia" w:ascii="仿宋_GB2312" w:hAnsi="仿宋_GB2312" w:eastAsia="仿宋_GB2312" w:cs="仿宋_GB2312"/>
          <w:sz w:val="32"/>
          <w:szCs w:val="32"/>
        </w:rPr>
        <w:t>万元，其中：</w:t>
      </w:r>
    </w:p>
    <w:p>
      <w:pPr>
        <w:widowControl w:val="0"/>
        <w:wordWrap/>
        <w:snapToGrid/>
        <w:spacing w:line="570" w:lineRule="exact"/>
        <w:ind w:left="0" w:leftChars="0"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人员经费774.7万元，</w:t>
      </w:r>
      <w:r>
        <w:rPr>
          <w:rFonts w:hint="eastAsia" w:ascii="仿宋_GB2312" w:hAnsi="黑体" w:eastAsia="仿宋_GB2312"/>
          <w:sz w:val="32"/>
          <w:szCs w:val="32"/>
        </w:rPr>
        <w:t>主要</w:t>
      </w:r>
      <w:r>
        <w:rPr>
          <w:rFonts w:hint="eastAsia" w:ascii="仿宋_GB2312" w:hAnsi="黑体" w:eastAsia="仿宋_GB2312"/>
          <w:sz w:val="32"/>
          <w:szCs w:val="32"/>
          <w:lang w:eastAsia="zh-CN"/>
        </w:rPr>
        <w:t>为工资福利支出</w:t>
      </w:r>
      <w:r>
        <w:rPr>
          <w:rFonts w:hint="eastAsia" w:ascii="仿宋_GB2312" w:hAnsi="仿宋_GB2312" w:eastAsia="仿宋_GB2312" w:cs="仿宋_GB2312"/>
          <w:sz w:val="32"/>
          <w:szCs w:val="32"/>
        </w:rPr>
        <w:t>774.7</w:t>
      </w:r>
      <w:r>
        <w:rPr>
          <w:rFonts w:hint="eastAsia" w:ascii="仿宋_GB2312" w:hAnsi="黑体" w:eastAsia="仿宋_GB2312"/>
          <w:sz w:val="32"/>
          <w:szCs w:val="32"/>
          <w:lang w:eastAsia="zh-CN"/>
        </w:rPr>
        <w:t>万元，</w:t>
      </w:r>
      <w:r>
        <w:rPr>
          <w:rFonts w:hint="eastAsia" w:ascii="仿宋_GB2312" w:hAnsi="黑体" w:eastAsia="仿宋_GB2312"/>
          <w:sz w:val="32"/>
          <w:szCs w:val="32"/>
        </w:rPr>
        <w:t>基本工资597.98</w:t>
      </w:r>
      <w:r>
        <w:rPr>
          <w:rFonts w:hint="eastAsia" w:ascii="仿宋_GB2312" w:hAnsi="黑体" w:eastAsia="仿宋_GB2312"/>
          <w:sz w:val="32"/>
          <w:szCs w:val="32"/>
          <w:lang w:eastAsia="zh-CN"/>
        </w:rPr>
        <w:t>万元，</w:t>
      </w:r>
      <w:r>
        <w:rPr>
          <w:rFonts w:hint="eastAsia" w:ascii="仿宋_GB2312" w:hAnsi="黑体" w:eastAsia="仿宋_GB2312"/>
          <w:sz w:val="32"/>
          <w:szCs w:val="32"/>
        </w:rPr>
        <w:t>财政对其他基本养老保险基金的补助</w:t>
      </w:r>
      <w:r>
        <w:rPr>
          <w:rFonts w:hint="eastAsia" w:ascii="仿宋_GB2312" w:hAnsi="仿宋_GB2312" w:eastAsia="仿宋_GB2312" w:cs="仿宋_GB2312"/>
          <w:sz w:val="32"/>
          <w:szCs w:val="32"/>
        </w:rPr>
        <w:t>79.53</w:t>
      </w:r>
      <w:r>
        <w:rPr>
          <w:rFonts w:hint="eastAsia" w:ascii="仿宋_GB2312" w:hAnsi="黑体" w:eastAsia="仿宋_GB2312"/>
          <w:sz w:val="32"/>
          <w:szCs w:val="32"/>
        </w:rPr>
        <w:t>万元，财政对职工基本医疗保险基金的补助为</w:t>
      </w:r>
      <w:r>
        <w:rPr>
          <w:rFonts w:hint="eastAsia" w:ascii="仿宋_GB2312" w:hAnsi="仿宋_GB2312" w:eastAsia="仿宋_GB2312" w:cs="仿宋_GB2312"/>
          <w:sz w:val="32"/>
          <w:szCs w:val="32"/>
        </w:rPr>
        <w:t>43.23</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rPr>
        <w:t>住房公积金的补助为</w:t>
      </w:r>
      <w:r>
        <w:rPr>
          <w:rFonts w:hint="eastAsia" w:ascii="仿宋_GB2312" w:hAnsi="仿宋_GB2312" w:eastAsia="仿宋_GB2312" w:cs="仿宋_GB2312"/>
          <w:sz w:val="32"/>
          <w:szCs w:val="32"/>
        </w:rPr>
        <w:t>53.96</w:t>
      </w:r>
      <w:r>
        <w:rPr>
          <w:rFonts w:hint="eastAsia" w:ascii="仿宋_GB2312" w:hAnsi="黑体" w:eastAsia="仿宋_GB2312"/>
          <w:sz w:val="32"/>
          <w:szCs w:val="32"/>
        </w:rPr>
        <w:t>万元。</w:t>
      </w:r>
    </w:p>
    <w:p>
      <w:pPr>
        <w:widowControl w:val="0"/>
        <w:wordWrap/>
        <w:snapToGrid/>
        <w:spacing w:line="570" w:lineRule="exact"/>
        <w:ind w:left="0" w:leftChars="0" w:right="0" w:firstLine="640" w:firstLineChars="200"/>
        <w:textAlignment w:val="auto"/>
        <w:outlineLvl w:val="9"/>
        <w:rPr>
          <w:rFonts w:ascii="黑体" w:hAnsi="黑体" w:eastAsia="黑体"/>
          <w:sz w:val="32"/>
          <w:szCs w:val="32"/>
        </w:rPr>
      </w:pPr>
      <w:r>
        <w:rPr>
          <w:rFonts w:hint="eastAsia" w:ascii="黑体" w:hAnsi="黑体" w:eastAsia="黑体"/>
          <w:sz w:val="32"/>
          <w:szCs w:val="32"/>
        </w:rPr>
        <w:t>七、202</w:t>
      </w:r>
      <w:r>
        <w:rPr>
          <w:rFonts w:hint="eastAsia" w:ascii="黑体" w:hAnsi="黑体" w:eastAsia="黑体"/>
          <w:sz w:val="32"/>
          <w:szCs w:val="32"/>
          <w:lang w:val="en-US" w:eastAsia="zh-CN"/>
        </w:rPr>
        <w:t>1</w:t>
      </w:r>
      <w:r>
        <w:rPr>
          <w:rFonts w:hint="eastAsia" w:ascii="黑体" w:hAnsi="黑体" w:eastAsia="黑体"/>
          <w:sz w:val="32"/>
          <w:szCs w:val="32"/>
        </w:rPr>
        <w:t>年度一般公共预算“三公”经费预算情况说明</w:t>
      </w:r>
    </w:p>
    <w:p>
      <w:pPr>
        <w:widowControl w:val="0"/>
        <w:wordWrap/>
        <w:snapToGrid/>
        <w:spacing w:line="570" w:lineRule="exact"/>
        <w:ind w:left="0" w:leftChars="0"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年度无一般公共预算“三公”经费。</w:t>
      </w:r>
    </w:p>
    <w:p>
      <w:pPr>
        <w:widowControl w:val="0"/>
        <w:wordWrap/>
        <w:snapToGrid/>
        <w:spacing w:line="570" w:lineRule="exact"/>
        <w:ind w:left="0" w:leftChars="0" w:right="0" w:firstLine="640" w:firstLineChars="200"/>
        <w:textAlignment w:val="auto"/>
        <w:outlineLvl w:val="9"/>
        <w:rPr>
          <w:rFonts w:ascii="黑体" w:hAnsi="黑体" w:eastAsia="黑体"/>
          <w:sz w:val="32"/>
          <w:szCs w:val="32"/>
        </w:rPr>
      </w:pPr>
      <w:r>
        <w:rPr>
          <w:rFonts w:hint="eastAsia" w:ascii="黑体" w:hAnsi="黑体" w:eastAsia="黑体"/>
          <w:sz w:val="32"/>
          <w:szCs w:val="32"/>
        </w:rPr>
        <w:t>八、202</w:t>
      </w:r>
      <w:r>
        <w:rPr>
          <w:rFonts w:hint="eastAsia" w:ascii="黑体" w:hAnsi="黑体" w:eastAsia="黑体"/>
          <w:sz w:val="32"/>
          <w:szCs w:val="32"/>
          <w:lang w:val="en-US" w:eastAsia="zh-CN"/>
        </w:rPr>
        <w:t>1</w:t>
      </w:r>
      <w:r>
        <w:rPr>
          <w:rFonts w:hint="eastAsia" w:ascii="黑体" w:hAnsi="黑体" w:eastAsia="黑体"/>
          <w:sz w:val="32"/>
          <w:szCs w:val="32"/>
        </w:rPr>
        <w:t>年度政府性基金预算支出情况说明</w:t>
      </w:r>
    </w:p>
    <w:p>
      <w:pPr>
        <w:widowControl w:val="0"/>
        <w:wordWrap/>
        <w:snapToGrid/>
        <w:spacing w:line="570" w:lineRule="exact"/>
        <w:ind w:left="0" w:leftChars="0"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年度无政府性基金预算收入与支出。</w:t>
      </w:r>
    </w:p>
    <w:p>
      <w:pPr>
        <w:widowControl w:val="0"/>
        <w:wordWrap/>
        <w:snapToGrid/>
        <w:spacing w:line="570" w:lineRule="exact"/>
        <w:ind w:left="0" w:leftChars="0" w:right="0" w:firstLine="640" w:firstLineChars="200"/>
        <w:textAlignment w:val="auto"/>
        <w:outlineLvl w:val="9"/>
        <w:rPr>
          <w:rFonts w:ascii="黑体" w:hAnsi="黑体" w:eastAsia="黑体"/>
          <w:sz w:val="32"/>
          <w:szCs w:val="32"/>
        </w:rPr>
      </w:pPr>
      <w:r>
        <w:rPr>
          <w:rFonts w:hint="eastAsia" w:ascii="黑体" w:hAnsi="黑体" w:eastAsia="黑体"/>
          <w:sz w:val="32"/>
          <w:szCs w:val="32"/>
        </w:rPr>
        <w:t>九、其他重要事项的情况说明</w:t>
      </w:r>
    </w:p>
    <w:p>
      <w:pPr>
        <w:widowControl w:val="0"/>
        <w:wordWrap/>
        <w:autoSpaceDE w:val="0"/>
        <w:autoSpaceDN w:val="0"/>
        <w:adjustRightInd w:val="0"/>
        <w:snapToGrid/>
        <w:spacing w:line="570" w:lineRule="exact"/>
        <w:ind w:left="0" w:leftChars="0" w:right="0" w:firstLine="640" w:firstLineChars="200"/>
        <w:textAlignment w:val="auto"/>
        <w:outlineLvl w:val="9"/>
        <w:rPr>
          <w:rFonts w:ascii="楷体" w:hAnsi="楷体" w:eastAsia="楷体"/>
          <w:sz w:val="32"/>
          <w:szCs w:val="32"/>
        </w:rPr>
      </w:pPr>
      <w:r>
        <w:rPr>
          <w:rFonts w:hint="eastAsia" w:ascii="楷体" w:hAnsi="楷体" w:eastAsia="楷体"/>
          <w:sz w:val="32"/>
          <w:szCs w:val="32"/>
        </w:rPr>
        <w:t>（一）政府采购情况说明。</w:t>
      </w:r>
    </w:p>
    <w:p>
      <w:pPr>
        <w:widowControl/>
        <w:wordWrap/>
        <w:adjustRightInd w:val="0"/>
        <w:snapToGrid w:val="0"/>
        <w:spacing w:after="0" w:line="560" w:lineRule="exact"/>
        <w:ind w:firstLine="640" w:firstLineChars="200"/>
        <w:jc w:val="both"/>
        <w:textAlignment w:val="auto"/>
        <w:rPr>
          <w:rFonts w:hint="eastAsia" w:ascii="仿宋_GB2312" w:hAnsi="黑体" w:eastAsia="仿宋_GB2312"/>
          <w:sz w:val="32"/>
          <w:szCs w:val="32"/>
        </w:rPr>
      </w:pPr>
      <w:r>
        <w:rPr>
          <w:rFonts w:hint="eastAsia" w:ascii="仿宋_GB2312" w:hAnsi="黑体" w:eastAsia="仿宋_GB2312"/>
          <w:i w:val="0"/>
          <w:iCs w:val="0"/>
          <w:sz w:val="32"/>
          <w:szCs w:val="32"/>
        </w:rPr>
        <w:t>202</w:t>
      </w:r>
      <w:r>
        <w:rPr>
          <w:rFonts w:hint="eastAsia" w:ascii="仿宋_GB2312" w:hAnsi="黑体" w:eastAsia="仿宋_GB2312"/>
          <w:i w:val="0"/>
          <w:iCs w:val="0"/>
          <w:sz w:val="32"/>
          <w:szCs w:val="32"/>
          <w:lang w:val="en-US" w:eastAsia="zh-CN"/>
        </w:rPr>
        <w:t>1</w:t>
      </w:r>
      <w:r>
        <w:rPr>
          <w:rFonts w:hint="eastAsia" w:ascii="仿宋_GB2312" w:hAnsi="黑体" w:eastAsia="仿宋_GB2312"/>
          <w:i w:val="0"/>
          <w:iCs w:val="0"/>
          <w:sz w:val="32"/>
          <w:szCs w:val="32"/>
        </w:rPr>
        <w:t>年</w:t>
      </w:r>
      <w:r>
        <w:rPr>
          <w:rFonts w:hint="eastAsia" w:ascii="仿宋_GB2312" w:hAnsi="仿宋_GB2312" w:eastAsia="仿宋_GB2312"/>
          <w:i w:val="0"/>
          <w:iCs w:val="0"/>
          <w:sz w:val="32"/>
          <w:szCs w:val="32"/>
          <w:lang w:eastAsia="zh-CN"/>
        </w:rPr>
        <w:t>上察隅小学</w:t>
      </w:r>
      <w:r>
        <w:rPr>
          <w:rFonts w:hint="eastAsia" w:ascii="仿宋_GB2312" w:hAnsi="黑体" w:eastAsia="仿宋_GB2312"/>
          <w:snapToGrid w:val="0"/>
          <w:w w:val="95"/>
          <w:sz w:val="32"/>
          <w:szCs w:val="32"/>
          <w:lang w:val="en-US" w:eastAsia="zh-CN"/>
        </w:rPr>
        <w:t>政府采购预算为0万元。</w:t>
      </w:r>
    </w:p>
    <w:p>
      <w:pPr>
        <w:widowControl w:val="0"/>
        <w:wordWrap/>
        <w:snapToGrid/>
        <w:spacing w:line="570" w:lineRule="exact"/>
        <w:ind w:left="0" w:leftChars="0" w:right="0" w:firstLine="640" w:firstLineChars="200"/>
        <w:textAlignment w:val="auto"/>
        <w:outlineLvl w:val="9"/>
        <w:rPr>
          <w:rFonts w:ascii="楷体" w:hAnsi="楷体" w:eastAsia="楷体"/>
          <w:sz w:val="32"/>
          <w:szCs w:val="32"/>
        </w:rPr>
      </w:pPr>
      <w:r>
        <w:rPr>
          <w:rFonts w:hint="eastAsia" w:ascii="楷体" w:hAnsi="楷体" w:eastAsia="楷体"/>
          <w:sz w:val="32"/>
          <w:szCs w:val="32"/>
        </w:rPr>
        <w:t>（二）国有资产占有使用情况说明。</w:t>
      </w:r>
    </w:p>
    <w:p>
      <w:pPr>
        <w:widowControl w:val="0"/>
        <w:wordWrap/>
        <w:snapToGrid/>
        <w:spacing w:line="570" w:lineRule="exact"/>
        <w:ind w:left="0" w:leftChars="0"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截至202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年1月31日，学校无车辆，202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年部门预算未安排购置车辆。</w:t>
      </w:r>
    </w:p>
    <w:p>
      <w:pPr>
        <w:wordWrap/>
        <w:spacing w:line="560" w:lineRule="exact"/>
        <w:ind w:firstLine="640" w:firstLineChars="200"/>
        <w:textAlignment w:val="auto"/>
        <w:rPr>
          <w:rFonts w:hint="eastAsia" w:ascii="楷体_GB2312" w:hAnsi="楷体_GB2312" w:eastAsia="楷体_GB2312" w:cs="楷体_GB2312"/>
          <w:i w:val="0"/>
          <w:iCs w:val="0"/>
          <w:sz w:val="32"/>
          <w:szCs w:val="32"/>
          <w:lang w:eastAsia="zh-CN"/>
        </w:rPr>
      </w:pPr>
      <w:r>
        <w:rPr>
          <w:rFonts w:hint="eastAsia" w:ascii="楷体_GB2312" w:hAnsi="楷体_GB2312" w:eastAsia="楷体_GB2312" w:cs="楷体_GB2312"/>
          <w:i w:val="0"/>
          <w:iCs w:val="0"/>
          <w:sz w:val="32"/>
          <w:szCs w:val="32"/>
        </w:rPr>
        <w:t>（</w:t>
      </w:r>
      <w:r>
        <w:rPr>
          <w:rFonts w:hint="eastAsia" w:ascii="楷体_GB2312" w:hAnsi="楷体_GB2312" w:eastAsia="楷体_GB2312" w:cs="楷体_GB2312"/>
          <w:i w:val="0"/>
          <w:iCs w:val="0"/>
          <w:sz w:val="32"/>
          <w:szCs w:val="32"/>
          <w:lang w:eastAsia="zh-CN"/>
        </w:rPr>
        <w:t>三</w:t>
      </w:r>
      <w:r>
        <w:rPr>
          <w:rFonts w:hint="eastAsia" w:ascii="楷体_GB2312" w:hAnsi="楷体_GB2312" w:eastAsia="楷体_GB2312" w:cs="楷体_GB2312"/>
          <w:i w:val="0"/>
          <w:iCs w:val="0"/>
          <w:sz w:val="32"/>
          <w:szCs w:val="32"/>
        </w:rPr>
        <w:t>）预算的绩效情况说明及重点项目预算绩效目标表</w:t>
      </w:r>
      <w:r>
        <w:rPr>
          <w:rFonts w:hint="eastAsia" w:ascii="楷体_GB2312" w:hAnsi="楷体_GB2312" w:eastAsia="楷体_GB2312" w:cs="楷体_GB2312"/>
          <w:i w:val="0"/>
          <w:iCs w:val="0"/>
          <w:sz w:val="32"/>
          <w:szCs w:val="32"/>
          <w:lang w:eastAsia="zh-CN"/>
        </w:rPr>
        <w:t>。</w:t>
      </w:r>
    </w:p>
    <w:p>
      <w:pPr>
        <w:wordWrap/>
        <w:spacing w:line="560" w:lineRule="exact"/>
        <w:ind w:firstLine="640" w:firstLineChars="200"/>
        <w:textAlignment w:val="auto"/>
        <w:rPr>
          <w:rFonts w:hint="eastAsia" w:ascii="仿宋_GB2312" w:hAnsi="仿宋_GB2312" w:eastAsia="仿宋_GB2312"/>
          <w:i w:val="0"/>
          <w:iCs w:val="0"/>
          <w:sz w:val="32"/>
          <w:szCs w:val="32"/>
          <w:lang w:eastAsia="zh-CN"/>
        </w:rPr>
      </w:pPr>
      <w:r>
        <w:rPr>
          <w:rFonts w:hint="eastAsia" w:ascii="仿宋_GB2312" w:hAnsi="仿宋_GB2312" w:eastAsia="仿宋_GB2312"/>
          <w:i w:val="0"/>
          <w:iCs w:val="0"/>
          <w:sz w:val="32"/>
          <w:szCs w:val="32"/>
        </w:rPr>
        <w:t>202</w:t>
      </w:r>
      <w:r>
        <w:rPr>
          <w:rFonts w:hint="eastAsia" w:ascii="仿宋_GB2312" w:hAnsi="仿宋_GB2312" w:eastAsia="仿宋_GB2312"/>
          <w:i w:val="0"/>
          <w:iCs w:val="0"/>
          <w:sz w:val="32"/>
          <w:szCs w:val="32"/>
          <w:lang w:val="en-US" w:eastAsia="zh-CN"/>
        </w:rPr>
        <w:t>1</w:t>
      </w:r>
      <w:r>
        <w:rPr>
          <w:rFonts w:hint="eastAsia" w:ascii="仿宋_GB2312" w:hAnsi="仿宋_GB2312" w:eastAsia="仿宋_GB2312"/>
          <w:i w:val="0"/>
          <w:iCs w:val="0"/>
          <w:sz w:val="32"/>
          <w:szCs w:val="32"/>
        </w:rPr>
        <w:t>年</w:t>
      </w:r>
      <w:r>
        <w:rPr>
          <w:rFonts w:hint="eastAsia" w:ascii="仿宋_GB2312" w:hAnsi="仿宋_GB2312" w:eastAsia="仿宋_GB2312"/>
          <w:i w:val="0"/>
          <w:iCs w:val="0"/>
          <w:sz w:val="32"/>
          <w:szCs w:val="32"/>
          <w:lang w:eastAsia="zh-CN"/>
        </w:rPr>
        <w:t>上察隅小学</w:t>
      </w:r>
      <w:r>
        <w:rPr>
          <w:rFonts w:hint="eastAsia" w:ascii="仿宋_GB2312" w:hAnsi="仿宋_GB2312" w:eastAsia="仿宋_GB2312"/>
          <w:i w:val="0"/>
          <w:iCs w:val="0"/>
          <w:sz w:val="32"/>
          <w:szCs w:val="32"/>
        </w:rPr>
        <w:t>实现财政支出绩效目标管理全覆盖，实行绩效目标管理</w:t>
      </w:r>
      <w:r>
        <w:rPr>
          <w:rFonts w:hint="eastAsia" w:ascii="仿宋_GB2312" w:hAnsi="仿宋_GB2312" w:eastAsia="仿宋_GB2312"/>
          <w:i w:val="0"/>
          <w:iCs w:val="0"/>
          <w:sz w:val="32"/>
          <w:szCs w:val="32"/>
          <w:lang w:val="en-US" w:eastAsia="zh-CN"/>
        </w:rPr>
        <w:t>30</w:t>
      </w:r>
      <w:r>
        <w:rPr>
          <w:rFonts w:hint="eastAsia" w:ascii="仿宋_GB2312" w:hAnsi="仿宋_GB2312" w:eastAsia="仿宋_GB2312"/>
          <w:i w:val="0"/>
          <w:iCs w:val="0"/>
          <w:sz w:val="32"/>
          <w:szCs w:val="32"/>
        </w:rPr>
        <w:t>个，资金</w:t>
      </w:r>
      <w:r>
        <w:rPr>
          <w:rFonts w:hint="eastAsia" w:ascii="仿宋_GB2312" w:hAnsi="黑体" w:eastAsia="仿宋_GB2312"/>
          <w:sz w:val="32"/>
          <w:szCs w:val="32"/>
          <w:lang w:val="en-US" w:eastAsia="zh-CN"/>
        </w:rPr>
        <w:t>1,385.79</w:t>
      </w:r>
      <w:r>
        <w:rPr>
          <w:rFonts w:hint="eastAsia" w:ascii="仿宋_GB2312" w:hAnsi="仿宋_GB2312" w:eastAsia="仿宋_GB2312"/>
          <w:i w:val="0"/>
          <w:iCs w:val="0"/>
          <w:sz w:val="32"/>
          <w:szCs w:val="32"/>
        </w:rPr>
        <w:t>万元</w:t>
      </w:r>
      <w:r>
        <w:rPr>
          <w:rFonts w:hint="eastAsia" w:ascii="仿宋_GB2312" w:hAnsi="仿宋_GB2312" w:eastAsia="仿宋_GB2312"/>
          <w:i w:val="0"/>
          <w:iCs w:val="0"/>
          <w:sz w:val="32"/>
          <w:szCs w:val="32"/>
          <w:lang w:eastAsia="zh-CN"/>
        </w:rPr>
        <w:t>，无重点项目。</w:t>
      </w:r>
    </w:p>
    <w:p>
      <w:pPr>
        <w:wordWrap/>
        <w:spacing w:line="560" w:lineRule="exact"/>
        <w:ind w:firstLine="640" w:firstLineChars="200"/>
        <w:textAlignment w:val="auto"/>
        <w:rPr>
          <w:rFonts w:hint="eastAsia" w:ascii="楷体_GB2312" w:hAnsi="楷体_GB2312" w:eastAsia="楷体_GB2312" w:cs="楷体_GB2312"/>
          <w:i w:val="0"/>
          <w:iCs w:val="0"/>
          <w:sz w:val="32"/>
          <w:szCs w:val="32"/>
        </w:rPr>
      </w:pPr>
      <w:r>
        <w:rPr>
          <w:rFonts w:hint="eastAsia" w:ascii="楷体_GB2312" w:hAnsi="楷体_GB2312" w:eastAsia="楷体_GB2312" w:cs="楷体_GB2312"/>
          <w:i w:val="0"/>
          <w:iCs w:val="0"/>
          <w:sz w:val="32"/>
          <w:szCs w:val="32"/>
          <w:lang w:eastAsia="zh-CN"/>
        </w:rPr>
        <w:t>（四）</w:t>
      </w:r>
      <w:r>
        <w:rPr>
          <w:rFonts w:hint="eastAsia" w:ascii="楷体_GB2312" w:hAnsi="楷体_GB2312" w:eastAsia="楷体_GB2312" w:cs="楷体_GB2312"/>
          <w:i w:val="0"/>
          <w:iCs w:val="0"/>
          <w:sz w:val="32"/>
          <w:szCs w:val="32"/>
        </w:rPr>
        <w:t>扶贫资金管理使用情况及绩效目标情况说明。</w:t>
      </w:r>
    </w:p>
    <w:p>
      <w:pPr>
        <w:wordWrap/>
        <w:spacing w:line="560" w:lineRule="exact"/>
        <w:ind w:firstLine="640" w:firstLineChars="200"/>
        <w:textAlignment w:val="auto"/>
        <w:rPr>
          <w:rFonts w:hint="default" w:ascii="仿宋_GB2312" w:hAnsi="仿宋_GB2312" w:eastAsia="仿宋_GB2312"/>
          <w:i w:val="0"/>
          <w:iCs w:val="0"/>
          <w:sz w:val="32"/>
          <w:szCs w:val="32"/>
          <w:lang w:val="en-US" w:eastAsia="zh-CN"/>
        </w:rPr>
      </w:pPr>
      <w:r>
        <w:rPr>
          <w:rFonts w:hint="eastAsia" w:ascii="仿宋_GB2312" w:hAnsi="仿宋_GB2312" w:eastAsia="仿宋_GB2312"/>
          <w:i w:val="0"/>
          <w:iCs w:val="0"/>
          <w:sz w:val="32"/>
          <w:szCs w:val="32"/>
        </w:rPr>
        <w:t>202</w:t>
      </w:r>
      <w:r>
        <w:rPr>
          <w:rFonts w:hint="eastAsia" w:ascii="仿宋_GB2312" w:hAnsi="仿宋_GB2312" w:eastAsia="仿宋_GB2312"/>
          <w:i w:val="0"/>
          <w:iCs w:val="0"/>
          <w:sz w:val="32"/>
          <w:szCs w:val="32"/>
          <w:lang w:val="en-US" w:eastAsia="zh-CN"/>
        </w:rPr>
        <w:t>1</w:t>
      </w:r>
      <w:r>
        <w:rPr>
          <w:rFonts w:hint="eastAsia" w:ascii="仿宋_GB2312" w:hAnsi="仿宋_GB2312" w:eastAsia="仿宋_GB2312"/>
          <w:i w:val="0"/>
          <w:iCs w:val="0"/>
          <w:sz w:val="32"/>
          <w:szCs w:val="32"/>
        </w:rPr>
        <w:t>年</w:t>
      </w:r>
      <w:r>
        <w:rPr>
          <w:rFonts w:hint="eastAsia" w:ascii="仿宋_GB2312" w:hAnsi="仿宋_GB2312" w:eastAsia="仿宋_GB2312"/>
          <w:i w:val="0"/>
          <w:iCs w:val="0"/>
          <w:sz w:val="32"/>
          <w:szCs w:val="32"/>
          <w:lang w:eastAsia="zh-CN"/>
        </w:rPr>
        <w:t>上察隅小学无扶贫资金预算安排。</w:t>
      </w:r>
    </w:p>
    <w:p>
      <w:pPr>
        <w:wordWrap/>
        <w:spacing w:line="560" w:lineRule="exact"/>
        <w:ind w:firstLine="640" w:firstLineChars="200"/>
        <w:textAlignment w:val="auto"/>
        <w:rPr>
          <w:rFonts w:hint="eastAsia" w:ascii="楷体_GB2312" w:hAnsi="楷体_GB2312" w:eastAsia="楷体_GB2312" w:cs="楷体_GB2312"/>
          <w:i w:val="0"/>
          <w:iCs w:val="0"/>
          <w:sz w:val="32"/>
          <w:szCs w:val="32"/>
        </w:rPr>
      </w:pPr>
      <w:r>
        <w:rPr>
          <w:rFonts w:hint="eastAsia" w:ascii="楷体_GB2312" w:hAnsi="楷体_GB2312" w:eastAsia="楷体_GB2312" w:cs="楷体_GB2312"/>
          <w:i w:val="0"/>
          <w:iCs w:val="0"/>
          <w:sz w:val="32"/>
          <w:szCs w:val="32"/>
        </w:rPr>
        <w:t>（</w:t>
      </w:r>
      <w:r>
        <w:rPr>
          <w:rFonts w:hint="eastAsia" w:ascii="楷体_GB2312" w:hAnsi="楷体_GB2312" w:eastAsia="楷体_GB2312" w:cs="楷体_GB2312"/>
          <w:i w:val="0"/>
          <w:iCs w:val="0"/>
          <w:sz w:val="32"/>
          <w:szCs w:val="32"/>
          <w:lang w:eastAsia="zh-CN"/>
        </w:rPr>
        <w:t>五</w:t>
      </w:r>
      <w:r>
        <w:rPr>
          <w:rFonts w:hint="eastAsia" w:ascii="楷体_GB2312" w:hAnsi="楷体_GB2312" w:eastAsia="楷体_GB2312" w:cs="楷体_GB2312"/>
          <w:i w:val="0"/>
          <w:iCs w:val="0"/>
          <w:sz w:val="32"/>
          <w:szCs w:val="32"/>
        </w:rPr>
        <w:t>）政府债务情况。</w:t>
      </w:r>
    </w:p>
    <w:p>
      <w:pPr>
        <w:wordWrap/>
        <w:spacing w:line="560" w:lineRule="exact"/>
        <w:ind w:firstLine="640" w:firstLineChars="200"/>
        <w:textAlignment w:val="auto"/>
        <w:rPr>
          <w:rFonts w:hint="eastAsia" w:ascii="方正小标宋_GBK" w:hAnsi="方正小标宋_GBK" w:eastAsia="方正小标宋_GBK" w:cs="方正小标宋_GBK"/>
          <w:i w:val="0"/>
          <w:iCs w:val="0"/>
          <w:sz w:val="32"/>
          <w:szCs w:val="32"/>
        </w:rPr>
      </w:pPr>
      <w:r>
        <w:rPr>
          <w:rFonts w:hint="eastAsia" w:ascii="仿宋_GB2312" w:hAnsi="仿宋_GB2312" w:eastAsia="仿宋_GB2312"/>
          <w:i w:val="0"/>
          <w:iCs w:val="0"/>
          <w:sz w:val="32"/>
          <w:szCs w:val="32"/>
        </w:rPr>
        <w:t>202</w:t>
      </w:r>
      <w:r>
        <w:rPr>
          <w:rFonts w:hint="eastAsia" w:ascii="仿宋_GB2312" w:hAnsi="仿宋_GB2312" w:eastAsia="仿宋_GB2312"/>
          <w:i w:val="0"/>
          <w:iCs w:val="0"/>
          <w:sz w:val="32"/>
          <w:szCs w:val="32"/>
          <w:lang w:val="en-US" w:eastAsia="zh-CN"/>
        </w:rPr>
        <w:t>1</w:t>
      </w:r>
      <w:r>
        <w:rPr>
          <w:rFonts w:hint="eastAsia" w:ascii="仿宋_GB2312" w:hAnsi="仿宋_GB2312" w:eastAsia="仿宋_GB2312"/>
          <w:i w:val="0"/>
          <w:iCs w:val="0"/>
          <w:sz w:val="32"/>
          <w:szCs w:val="32"/>
        </w:rPr>
        <w:t>年</w:t>
      </w:r>
      <w:r>
        <w:rPr>
          <w:rFonts w:hint="eastAsia" w:ascii="仿宋_GB2312" w:hAnsi="仿宋_GB2312" w:eastAsia="仿宋_GB2312"/>
          <w:i w:val="0"/>
          <w:iCs w:val="0"/>
          <w:sz w:val="32"/>
          <w:szCs w:val="32"/>
          <w:lang w:eastAsia="zh-CN"/>
        </w:rPr>
        <w:t>上察隅小学无举借债务情况。</w:t>
      </w:r>
    </w:p>
    <w:p>
      <w:pPr>
        <w:widowControl w:val="0"/>
        <w:wordWrap/>
        <w:snapToGrid/>
        <w:spacing w:line="570" w:lineRule="exact"/>
        <w:ind w:left="0" w:leftChars="0" w:right="0" w:firstLine="640" w:firstLineChars="200"/>
        <w:textAlignment w:val="auto"/>
        <w:outlineLvl w:val="9"/>
        <w:rPr>
          <w:rFonts w:hint="eastAsia" w:ascii="仿宋_GB2312" w:hAnsi="仿宋_GB2312" w:eastAsia="仿宋_GB2312" w:cs="仿宋_GB2312"/>
          <w:sz w:val="32"/>
          <w:szCs w:val="32"/>
        </w:rPr>
      </w:pPr>
    </w:p>
    <w:p>
      <w:pPr>
        <w:widowControl w:val="0"/>
        <w:wordWrap/>
        <w:snapToGrid/>
        <w:spacing w:line="570" w:lineRule="exact"/>
        <w:ind w:right="0"/>
        <w:jc w:val="center"/>
        <w:textAlignment w:val="auto"/>
        <w:outlineLvl w:val="9"/>
        <w:rPr>
          <w:rFonts w:ascii="方正小标宋简体" w:hAnsi="仿宋" w:eastAsia="方正小标宋简体"/>
          <w:sz w:val="44"/>
          <w:szCs w:val="44"/>
        </w:rPr>
      </w:pPr>
      <w:r>
        <w:rPr>
          <w:rFonts w:hint="eastAsia" w:ascii="方正小标宋简体" w:hAnsi="仿宋" w:eastAsia="方正小标宋简体"/>
          <w:sz w:val="44"/>
          <w:szCs w:val="44"/>
        </w:rPr>
        <w:t>第四部分</w:t>
      </w:r>
      <w:r>
        <w:rPr>
          <w:rFonts w:hint="eastAsia" w:ascii="方正小标宋简体" w:hAnsi="仿宋" w:eastAsia="方正小标宋简体"/>
          <w:sz w:val="44"/>
          <w:szCs w:val="44"/>
          <w:lang w:val="en-US" w:eastAsia="zh-CN"/>
        </w:rPr>
        <w:t xml:space="preserve">  </w:t>
      </w:r>
      <w:r>
        <w:rPr>
          <w:rFonts w:hint="eastAsia" w:ascii="方正小标宋简体" w:hAnsi="仿宋" w:eastAsia="方正小标宋简体"/>
          <w:sz w:val="44"/>
          <w:szCs w:val="44"/>
        </w:rPr>
        <w:t>名词解释</w:t>
      </w:r>
    </w:p>
    <w:p>
      <w:pPr>
        <w:widowControl w:val="0"/>
        <w:wordWrap/>
        <w:snapToGrid/>
        <w:spacing w:line="570" w:lineRule="exact"/>
        <w:ind w:left="0" w:leftChars="0" w:right="0"/>
        <w:jc w:val="center"/>
        <w:textAlignment w:val="auto"/>
        <w:outlineLvl w:val="9"/>
        <w:rPr>
          <w:rFonts w:ascii="仿宋" w:hAnsi="仿宋" w:eastAsia="仿宋"/>
          <w:sz w:val="44"/>
          <w:szCs w:val="44"/>
        </w:rPr>
      </w:pPr>
    </w:p>
    <w:p>
      <w:pPr>
        <w:spacing w:after="0" w:line="560" w:lineRule="exact"/>
        <w:ind w:firstLine="640" w:firstLineChars="200"/>
        <w:jc w:val="both"/>
        <w:rPr>
          <w:rFonts w:ascii="仿宋_GB2312" w:hAnsi="宋体" w:eastAsia="仿宋_GB2312" w:cs="宋体"/>
          <w:sz w:val="32"/>
          <w:szCs w:val="32"/>
        </w:rPr>
      </w:pPr>
      <w:r>
        <w:rPr>
          <w:rFonts w:hint="eastAsia" w:ascii="黑体" w:hAnsi="黑体" w:eastAsia="黑体" w:cs="黑体"/>
          <w:sz w:val="32"/>
          <w:szCs w:val="32"/>
        </w:rPr>
        <w:t>一、一般公共预算拨款收入</w:t>
      </w:r>
      <w:r>
        <w:rPr>
          <w:rFonts w:hint="eastAsia" w:ascii="仿宋_GB2312" w:hAnsi="宋体" w:eastAsia="仿宋_GB2312" w:cs="宋体"/>
          <w:sz w:val="32"/>
          <w:szCs w:val="32"/>
        </w:rPr>
        <w:t>：指本级财政当年拨付的资金。</w:t>
      </w:r>
    </w:p>
    <w:p>
      <w:pPr>
        <w:spacing w:after="0" w:line="560" w:lineRule="exact"/>
        <w:ind w:firstLine="640" w:firstLineChars="200"/>
        <w:jc w:val="both"/>
        <w:rPr>
          <w:rFonts w:ascii="仿宋_GB2312" w:hAnsi="仿宋" w:eastAsia="仿宋_GB2312"/>
          <w:sz w:val="32"/>
          <w:szCs w:val="32"/>
        </w:rPr>
      </w:pPr>
      <w:r>
        <w:rPr>
          <w:rFonts w:hint="eastAsia" w:ascii="黑体" w:hAnsi="黑体" w:eastAsia="黑体"/>
          <w:sz w:val="32"/>
          <w:szCs w:val="32"/>
        </w:rPr>
        <w:t>二、其他收入：</w:t>
      </w:r>
      <w:r>
        <w:rPr>
          <w:rFonts w:hint="eastAsia" w:ascii="仿宋_GB2312" w:hAnsi="仿宋" w:eastAsia="仿宋_GB2312"/>
          <w:sz w:val="32"/>
          <w:szCs w:val="32"/>
        </w:rPr>
        <w:t>指除上述“一般公共预算拨款收入”、“事业收入”、“事业单位经营收入”等以外的收入。主要是按规定动用的售房收入、存款利息收入等。</w:t>
      </w:r>
    </w:p>
    <w:p>
      <w:pPr>
        <w:spacing w:after="0" w:line="560" w:lineRule="exact"/>
        <w:ind w:firstLine="640" w:firstLineChars="200"/>
        <w:jc w:val="both"/>
        <w:rPr>
          <w:rFonts w:ascii="仿宋_GB2312" w:hAnsi="仿宋" w:eastAsia="仿宋_GB2312"/>
          <w:sz w:val="32"/>
          <w:szCs w:val="32"/>
        </w:rPr>
      </w:pPr>
      <w:r>
        <w:rPr>
          <w:rFonts w:hint="eastAsia" w:ascii="黑体" w:hAnsi="黑体" w:eastAsia="黑体"/>
          <w:sz w:val="32"/>
          <w:szCs w:val="32"/>
        </w:rPr>
        <w:t>三、上年结转：</w:t>
      </w:r>
      <w:r>
        <w:rPr>
          <w:rFonts w:hint="eastAsia" w:ascii="仿宋_GB2312" w:hAnsi="仿宋" w:eastAsia="仿宋_GB2312"/>
          <w:sz w:val="32"/>
          <w:szCs w:val="32"/>
        </w:rPr>
        <w:t>指以前年度安排、结转到本年仍按原规定用途继续使用的资金。</w:t>
      </w:r>
    </w:p>
    <w:p>
      <w:pPr>
        <w:spacing w:after="0" w:line="560" w:lineRule="exact"/>
        <w:ind w:firstLine="640" w:firstLineChars="200"/>
        <w:jc w:val="both"/>
        <w:rPr>
          <w:rFonts w:ascii="仿宋_GB2312" w:hAnsi="仿宋" w:eastAsia="仿宋_GB2312"/>
          <w:sz w:val="32"/>
          <w:szCs w:val="32"/>
        </w:rPr>
      </w:pPr>
      <w:r>
        <w:rPr>
          <w:rFonts w:hint="eastAsia" w:ascii="黑体" w:hAnsi="黑体" w:eastAsia="黑体" w:cs="黑体"/>
          <w:sz w:val="32"/>
          <w:szCs w:val="32"/>
        </w:rPr>
        <w:t>四、一般公共服务支出：</w:t>
      </w:r>
      <w:r>
        <w:rPr>
          <w:rFonts w:hint="eastAsia" w:ascii="仿宋_GB2312" w:hAnsi="仿宋" w:eastAsia="仿宋_GB2312"/>
          <w:sz w:val="32"/>
          <w:szCs w:val="32"/>
        </w:rPr>
        <w:t>反应政府提供一般公共服务的支出。</w:t>
      </w:r>
    </w:p>
    <w:p>
      <w:pPr>
        <w:autoSpaceDE w:val="0"/>
        <w:autoSpaceDN w:val="0"/>
        <w:spacing w:after="0" w:line="560" w:lineRule="exact"/>
        <w:ind w:firstLine="640" w:firstLineChars="200"/>
        <w:jc w:val="both"/>
        <w:rPr>
          <w:rFonts w:ascii="仿宋_GB2312" w:hAnsi="Calibri" w:eastAsia="仿宋_GB2312" w:cs="仿宋_GB2312"/>
          <w:sz w:val="32"/>
          <w:szCs w:val="32"/>
        </w:rPr>
      </w:pPr>
      <w:r>
        <w:rPr>
          <w:rFonts w:hint="eastAsia" w:ascii="黑体" w:hAnsi="黑体" w:eastAsia="黑体"/>
          <w:sz w:val="32"/>
          <w:szCs w:val="32"/>
        </w:rPr>
        <w:t>五、基本支出：</w:t>
      </w:r>
      <w:r>
        <w:rPr>
          <w:rFonts w:hint="eastAsia" w:ascii="仿宋_GB2312" w:hAnsi="仿宋" w:eastAsia="仿宋_GB2312"/>
          <w:sz w:val="32"/>
          <w:szCs w:val="32"/>
        </w:rPr>
        <w:t>指为保障机构正常运转、完成日常工作任务而发生的人员支出和公用支出。</w:t>
      </w:r>
    </w:p>
    <w:p>
      <w:pPr>
        <w:autoSpaceDE w:val="0"/>
        <w:autoSpaceDN w:val="0"/>
        <w:spacing w:after="0" w:line="560" w:lineRule="exact"/>
        <w:ind w:firstLine="640" w:firstLineChars="200"/>
        <w:jc w:val="both"/>
        <w:rPr>
          <w:rFonts w:ascii="仿宋_GB2312" w:hAnsi="仿宋" w:eastAsia="仿宋_GB2312"/>
          <w:sz w:val="32"/>
          <w:szCs w:val="32"/>
        </w:rPr>
      </w:pPr>
      <w:r>
        <w:rPr>
          <w:rFonts w:hint="eastAsia" w:ascii="黑体" w:hAnsi="黑体" w:eastAsia="黑体"/>
          <w:sz w:val="32"/>
          <w:szCs w:val="32"/>
        </w:rPr>
        <w:t>六、项目支出：</w:t>
      </w:r>
      <w:r>
        <w:rPr>
          <w:rFonts w:hint="eastAsia" w:ascii="仿宋_GB2312" w:hAnsi="仿宋" w:eastAsia="仿宋_GB2312"/>
          <w:sz w:val="32"/>
          <w:szCs w:val="32"/>
        </w:rPr>
        <w:t>指在基本支出之外为完成特定行政任务或事业发展目标所发生的支出。</w:t>
      </w:r>
    </w:p>
    <w:p>
      <w:pPr>
        <w:autoSpaceDE w:val="0"/>
        <w:autoSpaceDN w:val="0"/>
        <w:spacing w:after="0" w:line="560" w:lineRule="exact"/>
        <w:ind w:firstLine="640" w:firstLineChars="200"/>
        <w:jc w:val="both"/>
        <w:rPr>
          <w:rFonts w:ascii="仿宋_GB2312" w:hAnsi="仿宋" w:eastAsia="仿宋_GB2312"/>
          <w:sz w:val="32"/>
          <w:szCs w:val="32"/>
        </w:rPr>
      </w:pPr>
      <w:r>
        <w:rPr>
          <w:rFonts w:hint="eastAsia" w:ascii="黑体" w:hAnsi="黑体" w:eastAsia="黑体" w:cs="黑体"/>
          <w:sz w:val="32"/>
          <w:szCs w:val="32"/>
        </w:rPr>
        <w:t>七、住房保障支出：</w:t>
      </w:r>
      <w:r>
        <w:rPr>
          <w:rFonts w:hint="eastAsia" w:ascii="仿宋_GB2312" w:hAnsi="仿宋" w:eastAsia="仿宋_GB2312"/>
          <w:sz w:val="32"/>
          <w:szCs w:val="32"/>
        </w:rPr>
        <w:t>集中反映政府用于住房方面的支出。</w:t>
      </w:r>
    </w:p>
    <w:p>
      <w:pPr>
        <w:autoSpaceDE w:val="0"/>
        <w:autoSpaceDN w:val="0"/>
        <w:spacing w:after="0" w:line="560" w:lineRule="exact"/>
        <w:ind w:firstLine="640" w:firstLineChars="200"/>
        <w:jc w:val="both"/>
        <w:rPr>
          <w:rFonts w:ascii="仿宋_GB2312" w:hAnsi="仿宋" w:eastAsia="仿宋_GB2312"/>
          <w:sz w:val="32"/>
          <w:szCs w:val="32"/>
        </w:rPr>
      </w:pPr>
      <w:r>
        <w:rPr>
          <w:rFonts w:hint="eastAsia" w:ascii="黑体" w:hAnsi="黑体" w:eastAsia="黑体" w:cs="黑体"/>
          <w:sz w:val="32"/>
          <w:szCs w:val="32"/>
        </w:rPr>
        <w:t>八、机关运行</w:t>
      </w:r>
      <w:r>
        <w:rPr>
          <w:rFonts w:hint="eastAsia" w:ascii="黑体" w:hAnsi="黑体" w:eastAsia="黑体"/>
          <w:sz w:val="32"/>
          <w:szCs w:val="32"/>
        </w:rPr>
        <w:t>经费：</w:t>
      </w:r>
      <w:r>
        <w:rPr>
          <w:rFonts w:hint="eastAsia" w:ascii="仿宋_GB2312" w:hAnsi="仿宋" w:eastAsia="仿宋_GB2312"/>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autoSpaceDE w:val="0"/>
        <w:autoSpaceDN w:val="0"/>
        <w:spacing w:after="0" w:line="560" w:lineRule="exact"/>
        <w:ind w:firstLine="640" w:firstLineChars="200"/>
        <w:jc w:val="both"/>
        <w:rPr>
          <w:rFonts w:ascii="仿宋_GB2312" w:hAnsi="宋体" w:eastAsia="仿宋_GB2312"/>
          <w:sz w:val="32"/>
          <w:szCs w:val="32"/>
        </w:rPr>
      </w:pPr>
      <w:r>
        <w:rPr>
          <w:rFonts w:hint="eastAsia" w:ascii="黑体" w:hAnsi="黑体" w:eastAsia="黑体" w:cs="黑体"/>
          <w:sz w:val="32"/>
          <w:szCs w:val="32"/>
        </w:rPr>
        <w:t>九、“三公”经费：</w:t>
      </w:r>
      <w:r>
        <w:rPr>
          <w:rFonts w:hint="eastAsia" w:ascii="仿宋_GB2312" w:hAnsi="宋体" w:eastAsia="仿宋_GB2312" w:cs="宋体"/>
          <w:sz w:val="32"/>
          <w:szCs w:val="32"/>
        </w:rPr>
        <w:t>包括因公出国（境）费、公务接待费和公务用车购置及运行费。因公出国（境）费，指单位工作人员公务出国（境）的住宿费、旅费、伙食补助费、杂费、培训费等支出。公务接待费，指单位按规定开支的各类公务接待（含外宾接待）支出。公务用车购置及运行费，指单位公务用车购置费及租用费、燃料费、维修费、过路过桥费、保险费、安全奖励费用等支出，公务用车指用于履行公务的机动车辆，包括领导干部专车、一般公务用车和执法执勤用车。</w:t>
      </w:r>
    </w:p>
    <w:p>
      <w:pPr>
        <w:spacing w:after="0" w:line="560" w:lineRule="exact"/>
        <w:ind w:firstLine="640" w:firstLineChars="200"/>
        <w:jc w:val="both"/>
        <w:rPr>
          <w:rFonts w:ascii="仿宋_GB2312" w:hAnsi="仿宋" w:eastAsia="仿宋_GB2312"/>
          <w:sz w:val="32"/>
          <w:szCs w:val="32"/>
        </w:rPr>
      </w:pPr>
      <w:r>
        <w:rPr>
          <w:rFonts w:hint="eastAsia" w:ascii="黑体" w:hAnsi="黑体" w:eastAsia="黑体"/>
          <w:sz w:val="32"/>
          <w:szCs w:val="32"/>
        </w:rPr>
        <w:t>十、重点项目：</w:t>
      </w:r>
      <w:r>
        <w:rPr>
          <w:rFonts w:hint="eastAsia" w:ascii="仿宋_GB2312" w:hAnsi="仿宋" w:eastAsia="仿宋_GB2312"/>
          <w:sz w:val="32"/>
          <w:szCs w:val="32"/>
        </w:rPr>
        <w:t>贯彻落实自治区党委、政府重大方针政策和决策部署的项目，覆盖面广、影响力大、社会关注度高、实施期长的项目，与本部门职能职责密切相关的项目或预算安排支出相对较大的项目（具体重点项目由各部门结合实际自行确定）。</w:t>
      </w:r>
    </w:p>
    <w:p>
      <w:pPr>
        <w:widowControl w:val="0"/>
        <w:wordWrap/>
        <w:snapToGrid/>
        <w:spacing w:line="570" w:lineRule="exact"/>
        <w:ind w:left="0" w:leftChars="0" w:right="0" w:firstLine="640" w:firstLineChars="200"/>
        <w:textAlignment w:val="auto"/>
        <w:outlineLvl w:val="9"/>
        <w:rPr>
          <w:rFonts w:hint="eastAsia" w:ascii="仿宋_GB2312" w:hAnsi="仿宋_GB2312" w:eastAsia="仿宋_GB2312" w:cs="仿宋_GB2312"/>
          <w:sz w:val="32"/>
          <w:szCs w:val="32"/>
        </w:rPr>
      </w:pPr>
    </w:p>
    <w:sectPr>
      <w:headerReference r:id="rId4" w:type="default"/>
      <w:footerReference r:id="rId5" w:type="default"/>
      <w:footerReference r:id="rId6" w:type="even"/>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10002FF" w:usb1="4000ACFF" w:usb2="00000009"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r>
      <w:rPr>
        <w:rFonts w:ascii="Calibri" w:hAnsi="Calibri" w:eastAsia="宋体" w:cs="黑体"/>
        <w:kern w:val="2"/>
        <w:sz w:val="18"/>
        <w:szCs w:val="18"/>
        <w:lang w:val="en-US" w:eastAsia="zh-CN" w:bidi="ar-SA"/>
      </w:rPr>
      <w:pict>
        <v:rect id="文本框 1025" o:spid="_x0000_s1025" style="position:absolute;left:0;margin-top:0pt;height:144pt;width:144pt;mso-position-horizontal:outside;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3"/>
                  <w:rPr>
                    <w:rStyle w:val="6"/>
                    <w:sz w:val="24"/>
                    <w:szCs w:val="24"/>
                  </w:rPr>
                </w:pPr>
                <w:r>
                  <w:rPr>
                    <w:rStyle w:val="6"/>
                    <w:rFonts w:hint="eastAsia" w:ascii="仿宋_GB2312" w:hAnsi="仿宋_GB2312" w:eastAsia="仿宋_GB2312" w:cs="仿宋_GB2312"/>
                    <w:sz w:val="32"/>
                    <w:szCs w:val="32"/>
                  </w:rPr>
                  <w:fldChar w:fldCharType="begin"/>
                </w:r>
                <w:r>
                  <w:rPr>
                    <w:rStyle w:val="6"/>
                    <w:rFonts w:hint="eastAsia" w:ascii="仿宋_GB2312" w:hAnsi="仿宋_GB2312" w:eastAsia="仿宋_GB2312" w:cs="仿宋_GB2312"/>
                    <w:sz w:val="32"/>
                    <w:szCs w:val="32"/>
                  </w:rPr>
                  <w:instrText xml:space="preserve">PAGE  </w:instrText>
                </w:r>
                <w:r>
                  <w:rPr>
                    <w:rStyle w:val="6"/>
                    <w:rFonts w:hint="eastAsia" w:ascii="仿宋_GB2312" w:hAnsi="仿宋_GB2312" w:eastAsia="仿宋_GB2312" w:cs="仿宋_GB2312"/>
                    <w:sz w:val="32"/>
                    <w:szCs w:val="32"/>
                  </w:rPr>
                  <w:fldChar w:fldCharType="separate"/>
                </w:r>
                <w:r>
                  <w:rPr>
                    <w:rStyle w:val="6"/>
                    <w:rFonts w:hint="eastAsia" w:ascii="仿宋_GB2312" w:hAnsi="仿宋_GB2312" w:eastAsia="仿宋_GB2312" w:cs="仿宋_GB2312"/>
                    <w:sz w:val="32"/>
                    <w:szCs w:val="32"/>
                  </w:rPr>
                  <w:t>7</w:t>
                </w:r>
                <w:r>
                  <w:rPr>
                    <w:rStyle w:val="6"/>
                    <w:rFonts w:hint="eastAsia" w:ascii="仿宋_GB2312" w:hAnsi="仿宋_GB2312" w:eastAsia="仿宋_GB2312" w:cs="仿宋_GB2312"/>
                    <w:sz w:val="32"/>
                    <w:szCs w:val="32"/>
                  </w:rPr>
                  <w:fldChar w:fldCharType="end"/>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framePr w:wrap="around" w:hAnchor="margin" w:vAnchor="text" w:xAlign="center" w:y="1"/>
      <w:rPr>
        <w:rStyle w:val="6"/>
      </w:rPr>
    </w:pPr>
    <w:r>
      <w:rPr>
        <w:rStyle w:val="6"/>
      </w:rPr>
      <w:fldChar w:fldCharType="begin"/>
    </w:r>
    <w:r>
      <w:rPr>
        <w:rStyle w:val="6"/>
      </w:rPr>
      <w:instrText xml:space="preserve">PAGE  </w:instrText>
    </w:r>
    <w:r>
      <w:rPr>
        <w:rStyle w:val="6"/>
      </w:rPr>
      <w:fldChar w:fldCharType="separate"/>
    </w:r>
    <w:r>
      <w:rPr>
        <w:rStyle w:val="6"/>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annotation subject"/>
    <w:lsdException w:qFormat="1" w:uiPriority="99" w:semiHidden="0" w:name="Balloon Text"/>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qFormat/>
    <w:uiPriority w:val="1"/>
  </w:style>
  <w:style w:type="paragraph" w:styleId="2">
    <w:name w:val="Balloon Text"/>
    <w:basedOn w:val="1"/>
    <w:link w:val="9"/>
    <w:unhideWhenUsed/>
    <w:qFormat/>
    <w:uiPriority w:val="99"/>
    <w:rPr>
      <w:sz w:val="18"/>
      <w:szCs w:val="18"/>
    </w:rPr>
  </w:style>
  <w:style w:type="paragraph" w:styleId="3">
    <w:name w:val="footer"/>
    <w:basedOn w:val="1"/>
    <w:link w:val="8"/>
    <w:unhideWhenUsed/>
    <w:qFormat/>
    <w:uiPriority w:val="0"/>
    <w:pPr>
      <w:tabs>
        <w:tab w:val="center" w:pos="4153"/>
        <w:tab w:val="right" w:pos="8306"/>
      </w:tabs>
      <w:snapToGrid w:val="0"/>
      <w:jc w:val="left"/>
    </w:pPr>
    <w:rPr>
      <w:rFonts w:ascii="Calibri" w:hAnsi="Calibri" w:eastAsia="宋体" w:cs="黑体"/>
      <w:sz w:val="18"/>
      <w:szCs w:val="18"/>
    </w:rPr>
  </w:style>
  <w:style w:type="paragraph" w:styleId="4">
    <w:name w:val="header"/>
    <w:basedOn w:val="1"/>
    <w:link w:val="7"/>
    <w:unhideWhenUsed/>
    <w:qFormat/>
    <w:uiPriority w:val="0"/>
    <w:pPr>
      <w:pBdr>
        <w:bottom w:val="single" w:color="auto" w:sz="6" w:space="1"/>
      </w:pBdr>
      <w:tabs>
        <w:tab w:val="center" w:pos="4153"/>
        <w:tab w:val="right" w:pos="8306"/>
      </w:tabs>
      <w:snapToGrid w:val="0"/>
      <w:jc w:val="center"/>
    </w:pPr>
    <w:rPr>
      <w:rFonts w:ascii="Calibri" w:hAnsi="Calibri" w:eastAsia="宋体" w:cs="黑体"/>
      <w:sz w:val="18"/>
      <w:szCs w:val="18"/>
    </w:rPr>
  </w:style>
  <w:style w:type="character" w:styleId="6">
    <w:name w:val="page number"/>
    <w:basedOn w:val="5"/>
    <w:qFormat/>
    <w:uiPriority w:val="0"/>
    <w:rPr/>
  </w:style>
  <w:style w:type="character" w:customStyle="1" w:styleId="7">
    <w:name w:val="页眉 Char"/>
    <w:basedOn w:val="5"/>
    <w:link w:val="4"/>
    <w:qFormat/>
    <w:uiPriority w:val="99"/>
    <w:rPr>
      <w:sz w:val="18"/>
      <w:szCs w:val="18"/>
    </w:rPr>
  </w:style>
  <w:style w:type="character" w:customStyle="1" w:styleId="8">
    <w:name w:val="页脚 Char"/>
    <w:basedOn w:val="5"/>
    <w:link w:val="3"/>
    <w:qFormat/>
    <w:uiPriority w:val="99"/>
    <w:rPr>
      <w:sz w:val="18"/>
      <w:szCs w:val="18"/>
    </w:rPr>
  </w:style>
  <w:style w:type="character" w:customStyle="1" w:styleId="9">
    <w:name w:val="批注框文本 Char"/>
    <w:basedOn w:val="5"/>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theme" Target="theme/theme1.xml"/><Relationship Id="rId8"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3065</Words>
  <Characters>3409</Characters>
  <Lines>24</Lines>
  <Paragraphs>6</Paragraphs>
  <TotalTime>0</TotalTime>
  <ScaleCrop>false</ScaleCrop>
  <LinksUpToDate>false</LinksUpToDate>
  <CharactersWithSpaces>0</CharactersWithSpaces>
  <Application>WPS Office 专业版_9.1.0.4472_{F1E327BC-269C-435d-A152-05C5408002CA}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2021-01-19T10:08:00Z</dcterms:created>
  <dc:creator>CN=预算处/OU=预算处/OU=西藏自治区财政厅/O=TIBET</dc:creator>
  <cp:lastModifiedBy>Administrator</cp:lastModifiedBy>
  <cp:lastPrinted>2021-01-27T11:28:00Z</cp:lastPrinted>
  <dcterms:modified xsi:type="dcterms:W3CDTF">2023-04-20T08:31:44Z</dcterms:modified>
  <dc:title>察隅县上察隅镇中心小学2021年度</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2052-9.1.0.4472</vt:lpwstr>
  </property>
  <property fmtid="{D5CDD505-2E9C-101B-9397-08002B2CF9AE}" pid="3" name="ICV">
    <vt:lpwstr>C8BC41DE081C4C60B09D12CF26818466</vt:lpwstr>
  </property>
</Properties>
</file>