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Times New Roman"/>
          <w:sz w:val="44"/>
          <w:szCs w:val="44"/>
        </w:rPr>
      </w:pPr>
    </w:p>
    <w:p>
      <w:pPr>
        <w:jc w:val="center"/>
        <w:rPr>
          <w:rFonts w:cs="Times New Roman"/>
          <w:sz w:val="44"/>
          <w:szCs w:val="44"/>
        </w:rPr>
      </w:pPr>
    </w:p>
    <w:p>
      <w:pPr>
        <w:spacing w:line="640" w:lineRule="exact"/>
        <w:jc w:val="center"/>
        <w:rPr>
          <w:rFonts w:ascii="黑体" w:eastAsia="黑体" w:cs="Times New Roman"/>
          <w:b/>
          <w:sz w:val="52"/>
          <w:szCs w:val="52"/>
        </w:rPr>
      </w:pPr>
    </w:p>
    <w:p>
      <w:pPr>
        <w:spacing w:line="640" w:lineRule="exact"/>
        <w:jc w:val="center"/>
        <w:rPr>
          <w:rFonts w:ascii="黑体" w:eastAsia="黑体" w:cs="Times New Roman"/>
          <w:b/>
          <w:sz w:val="52"/>
          <w:szCs w:val="52"/>
        </w:rPr>
      </w:pPr>
    </w:p>
    <w:p>
      <w:pPr>
        <w:spacing w:line="640" w:lineRule="exact"/>
        <w:jc w:val="center"/>
        <w:rPr>
          <w:rFonts w:ascii="黑体" w:eastAsia="黑体" w:cs="Times New Roman"/>
          <w:b/>
          <w:sz w:val="52"/>
          <w:szCs w:val="52"/>
        </w:rPr>
      </w:pPr>
      <w:r>
        <w:rPr>
          <w:rFonts w:hint="eastAsia" w:ascii="黑体" w:eastAsia="黑体" w:cs="Times New Roman"/>
          <w:b/>
          <w:sz w:val="52"/>
          <w:szCs w:val="52"/>
        </w:rPr>
        <w:t>察隅县人力资源和社会保障局</w:t>
      </w:r>
      <w:r>
        <w:rPr>
          <w:rFonts w:ascii="黑体" w:eastAsia="黑体" w:cs="Times New Roman"/>
          <w:b/>
          <w:sz w:val="52"/>
          <w:szCs w:val="52"/>
        </w:rPr>
        <w:t>2021</w:t>
      </w:r>
      <w:r>
        <w:rPr>
          <w:rFonts w:hint="eastAsia" w:ascii="黑体" w:eastAsia="黑体" w:cs="Times New Roman"/>
          <w:b/>
          <w:sz w:val="52"/>
          <w:szCs w:val="52"/>
        </w:rPr>
        <w:t>年度部门预算</w:t>
      </w: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hint="eastAsia" w:eastAsia="微软雅黑" w:cs="Times New Roman"/>
          <w:sz w:val="44"/>
          <w:szCs w:val="44"/>
          <w:lang w:val="en-US" w:eastAsia="zh-CN"/>
        </w:rPr>
      </w:pPr>
      <w:r>
        <w:rPr>
          <w:rFonts w:hint="eastAsia" w:cs="Times New Roman"/>
          <w:sz w:val="44"/>
          <w:szCs w:val="44"/>
          <w:lang w:val="en-US" w:eastAsia="zh-CN"/>
        </w:rPr>
        <w:t xml:space="preserve">  </w:t>
      </w:r>
    </w:p>
    <w:p>
      <w:pPr>
        <w:rPr>
          <w:rFonts w:cs="Times New Roman"/>
          <w:sz w:val="44"/>
          <w:szCs w:val="44"/>
        </w:rPr>
      </w:pPr>
      <w:bookmarkStart w:id="0" w:name="_GoBack"/>
      <w:bookmarkEnd w:id="0"/>
    </w:p>
    <w:p>
      <w:pPr>
        <w:rPr>
          <w:rFonts w:cs="Times New Roman"/>
          <w:sz w:val="44"/>
          <w:szCs w:val="44"/>
        </w:rPr>
      </w:pPr>
    </w:p>
    <w:p>
      <w:pPr>
        <w:ind w:firstLine="1120" w:firstLineChars="350"/>
        <w:rPr>
          <w:rFonts w:ascii="宋体" w:hAnsi="宋体" w:cs="Times New Roman"/>
          <w:sz w:val="32"/>
          <w:szCs w:val="32"/>
          <w:u w:val="single"/>
        </w:rPr>
      </w:pPr>
      <w:r>
        <w:rPr>
          <w:rFonts w:hint="eastAsia" w:ascii="宋体" w:hAnsi="宋体" w:cs="Times New Roman"/>
          <w:sz w:val="32"/>
          <w:szCs w:val="32"/>
          <w:u w:val="single"/>
          <w:lang w:val="en-US" w:eastAsia="zh-CN"/>
        </w:rPr>
        <w:t xml:space="preserve"> </w:t>
      </w:r>
      <w:r>
        <w:rPr>
          <w:rFonts w:hint="eastAsia" w:ascii="宋体" w:hAnsi="宋体" w:cs="Times New Roman"/>
          <w:sz w:val="32"/>
          <w:szCs w:val="32"/>
          <w:u w:val="single"/>
        </w:rPr>
        <w:t>2021</w:t>
      </w:r>
      <w:r>
        <w:rPr>
          <w:rFonts w:ascii="宋体" w:hAnsi="宋体" w:cs="Times New Roman"/>
          <w:sz w:val="32"/>
          <w:szCs w:val="32"/>
          <w:u w:val="single"/>
        </w:rPr>
        <w:t xml:space="preserve">  </w:t>
      </w:r>
      <w:r>
        <w:rPr>
          <w:rFonts w:hint="eastAsia" w:ascii="宋体" w:hAnsi="宋体" w:cs="Times New Roman"/>
          <w:sz w:val="32"/>
          <w:szCs w:val="32"/>
        </w:rPr>
        <w:t>年</w:t>
      </w:r>
      <w:r>
        <w:rPr>
          <w:rFonts w:ascii="宋体" w:hAnsi="宋体" w:cs="Times New Roman"/>
          <w:sz w:val="32"/>
          <w:szCs w:val="32"/>
          <w:u w:val="single"/>
        </w:rPr>
        <w:t xml:space="preserve">  </w:t>
      </w:r>
      <w:r>
        <w:rPr>
          <w:rFonts w:hint="eastAsia" w:ascii="宋体" w:hAnsi="宋体" w:cs="Times New Roman"/>
          <w:sz w:val="32"/>
          <w:szCs w:val="32"/>
          <w:u w:val="single"/>
        </w:rPr>
        <w:t>2</w:t>
      </w:r>
      <w:r>
        <w:rPr>
          <w:rFonts w:ascii="宋体" w:hAnsi="宋体" w:cs="Times New Roman"/>
          <w:sz w:val="32"/>
          <w:szCs w:val="32"/>
          <w:u w:val="single"/>
        </w:rPr>
        <w:t xml:space="preserve"> </w:t>
      </w:r>
      <w:r>
        <w:rPr>
          <w:rFonts w:hint="eastAsia" w:ascii="宋体" w:hAnsi="宋体" w:cs="Times New Roman"/>
          <w:sz w:val="32"/>
          <w:szCs w:val="32"/>
          <w:u w:val="single"/>
        </w:rPr>
        <w:t xml:space="preserve"> </w:t>
      </w:r>
      <w:r>
        <w:rPr>
          <w:rFonts w:hint="eastAsia" w:ascii="宋体" w:hAnsi="宋体" w:cs="Times New Roman"/>
          <w:sz w:val="32"/>
          <w:szCs w:val="32"/>
        </w:rPr>
        <w:t>月</w:t>
      </w:r>
      <w:r>
        <w:rPr>
          <w:rFonts w:hint="eastAsia" w:ascii="宋体" w:hAnsi="宋体" w:cs="Times New Roman"/>
          <w:sz w:val="32"/>
          <w:szCs w:val="32"/>
          <w:u w:val="single"/>
        </w:rPr>
        <w:t xml:space="preserve">  1</w:t>
      </w:r>
      <w:r>
        <w:rPr>
          <w:rFonts w:ascii="宋体" w:hAnsi="宋体" w:cs="Times New Roman"/>
          <w:sz w:val="32"/>
          <w:szCs w:val="32"/>
          <w:u w:val="single"/>
        </w:rPr>
        <w:t xml:space="preserve"> </w:t>
      </w:r>
      <w:r>
        <w:rPr>
          <w:rFonts w:hint="eastAsia" w:ascii="宋体" w:hAnsi="宋体" w:cs="Times New Roman"/>
          <w:sz w:val="32"/>
          <w:szCs w:val="32"/>
          <w:u w:val="single"/>
        </w:rPr>
        <w:t xml:space="preserve"> </w:t>
      </w:r>
      <w:r>
        <w:rPr>
          <w:rFonts w:hint="eastAsia" w:ascii="宋体" w:hAnsi="宋体" w:cs="Times New Roman"/>
          <w:sz w:val="32"/>
          <w:szCs w:val="32"/>
        </w:rPr>
        <w:t>日</w:t>
      </w:r>
    </w:p>
    <w:p>
      <w:pPr>
        <w:rPr>
          <w:rFonts w:cs="Times New Roman"/>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目录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  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第二部分部门2021年度部门预算明细表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部门2021年度部门预算数据分析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FangSong_GB2312" w:hAnsi="宋体" w:eastAsia="FangSong_GB2312"/>
          <w:b/>
          <w:snapToGrid w:val="0"/>
          <w:w w:val="95"/>
          <w:sz w:val="36"/>
          <w:szCs w:val="36"/>
        </w:rPr>
      </w:pPr>
    </w:p>
    <w:p>
      <w:pPr>
        <w:rPr>
          <w:rFonts w:ascii="宋体" w:hAnsi="宋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r>
        <w:rPr>
          <w:rFonts w:hint="eastAsia" w:ascii="黑体" w:hAnsi="黑体" w:eastAsia="黑体"/>
          <w:b/>
          <w:snapToGrid w:val="0"/>
          <w:w w:val="95"/>
          <w:sz w:val="44"/>
          <w:szCs w:val="44"/>
        </w:rPr>
        <w:t>第一部分察隅县人力资源和社会保障局概况</w:t>
      </w:r>
    </w:p>
    <w:p>
      <w:pPr>
        <w:rPr>
          <w:rFonts w:ascii="黑体" w:hAnsi="黑体" w:eastAsia="黑体"/>
          <w:sz w:val="32"/>
          <w:szCs w:val="32"/>
        </w:rPr>
      </w:pPr>
      <w:r>
        <w:rPr>
          <w:rFonts w:hint="eastAsia" w:ascii="黑体" w:hAnsi="黑体" w:eastAsia="黑体"/>
          <w:sz w:val="32"/>
          <w:szCs w:val="32"/>
        </w:rPr>
        <w:t>一、主要职能</w:t>
      </w:r>
    </w:p>
    <w:p>
      <w:pPr>
        <w:pStyle w:val="7"/>
        <w:adjustRightInd w:val="0"/>
        <w:snapToGrid w:val="0"/>
        <w:spacing w:line="560" w:lineRule="exact"/>
        <w:rPr>
          <w:rFonts w:ascii="宋体" w:hAnsi="宋体"/>
          <w:b/>
          <w:bCs/>
          <w:sz w:val="32"/>
          <w:szCs w:val="32"/>
        </w:rPr>
      </w:pPr>
      <w:r>
        <w:rPr>
          <w:rFonts w:hint="eastAsia" w:ascii="宋体" w:hAnsi="宋体"/>
          <w:b/>
          <w:bCs/>
          <w:sz w:val="32"/>
          <w:szCs w:val="32"/>
        </w:rPr>
        <w:t>（一）</w:t>
      </w:r>
      <w:r>
        <w:rPr>
          <w:rFonts w:hint="eastAsia" w:ascii="FangSong_GB2312" w:hAnsi="宋体" w:eastAsia="FangSong_GB2312"/>
          <w:sz w:val="32"/>
          <w:szCs w:val="32"/>
        </w:rPr>
        <w:t>部门职责</w:t>
      </w:r>
    </w:p>
    <w:p>
      <w:pPr>
        <w:pStyle w:val="7"/>
        <w:adjustRightInd w:val="0"/>
        <w:snapToGrid w:val="0"/>
        <w:spacing w:line="560" w:lineRule="exact"/>
        <w:ind w:left="0" w:firstLine="640" w:firstLineChars="200"/>
        <w:rPr>
          <w:rFonts w:ascii="宋体" w:hAnsi="宋体"/>
          <w:b/>
          <w:bCs/>
          <w:sz w:val="32"/>
          <w:szCs w:val="32"/>
        </w:rPr>
      </w:pPr>
      <w:r>
        <w:rPr>
          <w:rFonts w:hint="eastAsia" w:ascii="FangSong_GB2312" w:eastAsia="FangSong_GB2312"/>
          <w:sz w:val="32"/>
          <w:szCs w:val="32"/>
        </w:rPr>
        <w:t>1.贯彻执行国家、自治区和地区人力资源和社会保障的政策法规和规章，拟订全县人力资源和社会保障事业发展规划、年度计划并组织实施和监督检查。</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2.拟订全县人力资源市场发展规划和人力资源流动管理措施并组织实施，建立统一规范的人力资源市场，促进人力资源合理流动和有效配置。</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3.负责全县促进就业工作。拟订统筹城乡就业发展规划并组织实施。完善公共就业服务体系，拟订就业援助措施，完善职业资格制度，统筹建立面向城乡劳动者的职业培训制度。负责落实国家、自治区有关高校毕业生就业政策，会同有关部门建立高技能人才、农牧区实用人才培养和激励机制。</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4.统筹建立覆盖城乡的社会保障体系。负责落实国家、自治区和地区城乡社会保险及其补充保险政策和标准；建立社会保险关系转续制度；建立健全机关、企事业单位基本养老保险制度；会同有关部门拟订社会保险及其补充保险基金的管理和监督实施细则；负责编制全县社会保险基金预决算草案。</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5.负责全县就业、失业和社会保险基金预测预警和信息引导；拟订应对预案，实施预防、调节和控制，保持全县就业形势稳定和社会保险基金总体收支平衡。</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6.贯彻执行国家、自治区和地区关于机关、事业单位人员工资收入分配政策与机关、事业单位人员福利和离退休政策，负责本级“工资集中支付”的工资审查工作。</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7.会同有关部门指导全县事业单位人事制度改革，根据国家、自治区有关事业单位人员和机关工勤人员管理政策，制定符合全县实际的事业单位人员和机关工勤人员管理细则并组织实施。参与人才管理工作，根据国家、自治区有关专业技术人员管理和继续教育政策，制定全县专业技术人员管理和继续教育办法并组织实施。牵头推进深化职称制度改革工作。贯彻国家和自治区博士后政策，负责高层次专业技术人才培养、推荐工作；负责少数民族专业技术人才特殊培养工作。</w:t>
      </w:r>
    </w:p>
    <w:p>
      <w:pPr>
        <w:pStyle w:val="7"/>
        <w:adjustRightInd w:val="0"/>
        <w:snapToGrid w:val="0"/>
        <w:spacing w:line="560" w:lineRule="exact"/>
        <w:ind w:left="0" w:firstLine="640" w:firstLineChars="200"/>
        <w:rPr>
          <w:rFonts w:ascii="FangSong_GB2312" w:eastAsia="FangSong_GB2312"/>
          <w:color w:val="000000"/>
          <w:sz w:val="32"/>
          <w:szCs w:val="32"/>
        </w:rPr>
      </w:pPr>
      <w:r>
        <w:rPr>
          <w:rFonts w:hint="eastAsia" w:ascii="FangSong_GB2312" w:eastAsia="FangSong_GB2312"/>
          <w:color w:val="000000"/>
          <w:sz w:val="32"/>
          <w:szCs w:val="32"/>
        </w:rPr>
        <w:t>8.贯彻国家、自治区引进国（境）外人才和智力有关政策，编制全县引进国（境）外智力的中长期规划和年度计划，会同有关部门管理外国专家。归口管理全县派遗团组和赴国（境）外培训工作。</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9.贯彻落实国家、自治区有关军队转业干部安置政策和安置计划，拟订全县军队转业干部安置计划，负责军队转业干部教育培训工作。落实国家、自治区关于部分企业军队转业干部解困和稳定政策，做好企业军队转业干部解困和稳定工作。负责自主择业军队转业干部管理服务工作。</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10.会同有关部门完善公务员制度，负责全县公务员及其参照公务员法管理事业单位工作人员综合管理工作；拟订有关人员调配办法和特殊人员安置办法，会同有关部门组织落实国家荣誉制度。</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11.贯彻落实国家、自治区惠民政策，拟订农民工工作规划，推动农民工相关政策的落实，协调解决重点难点问题，维护农民工合法权益。</w:t>
      </w:r>
    </w:p>
    <w:p>
      <w:pPr>
        <w:pStyle w:val="7"/>
        <w:adjustRightInd w:val="0"/>
        <w:snapToGrid w:val="0"/>
        <w:spacing w:line="560" w:lineRule="exact"/>
        <w:ind w:left="0" w:firstLine="640" w:firstLineChars="200"/>
        <w:rPr>
          <w:rFonts w:ascii="FangSong_GB2312" w:eastAsia="FangSong_GB2312"/>
          <w:sz w:val="32"/>
          <w:szCs w:val="32"/>
        </w:rPr>
      </w:pPr>
      <w:r>
        <w:rPr>
          <w:rFonts w:hint="eastAsia" w:ascii="FangSong_GB2312" w:eastAsia="FangSong_GB2312"/>
          <w:sz w:val="32"/>
          <w:szCs w:val="32"/>
        </w:rPr>
        <w:t>12.建立和谐稳定的劳动关系。统筹实施劳动、人事争议调解仲裁制度；落实国家和自治区的劳动关系政策，完善劳动关系协调机制，监督落实消除非法使用童工政策和女工、未成年工的特殊劳动保护政策，组织实施劳动监察，协调劳动者维权工作，依法查处侵犯劳动者合法权益的重大案件。</w:t>
      </w:r>
    </w:p>
    <w:p>
      <w:pPr>
        <w:spacing w:line="560" w:lineRule="exact"/>
        <w:ind w:firstLine="640" w:firstLineChars="200"/>
        <w:rPr>
          <w:rFonts w:ascii="FangSong_GB2312" w:eastAsia="FangSong_GB2312"/>
          <w:sz w:val="32"/>
          <w:szCs w:val="32"/>
        </w:rPr>
      </w:pPr>
      <w:r>
        <w:rPr>
          <w:rFonts w:hint="eastAsia" w:ascii="FangSong_GB2312" w:eastAsia="FangSong_GB2312"/>
          <w:sz w:val="32"/>
          <w:szCs w:val="32"/>
        </w:rPr>
        <w:t>13.承办县政府交办的其他事项。</w:t>
      </w:r>
    </w:p>
    <w:p>
      <w:pPr>
        <w:spacing w:beforeLines="100" w:afterLines="100" w:line="460" w:lineRule="exact"/>
        <w:rPr>
          <w:rFonts w:ascii="宋体" w:hAnsi="宋体" w:eastAsia="宋体" w:cs="Times New Roman"/>
          <w:b/>
          <w:bCs/>
          <w:sz w:val="32"/>
          <w:szCs w:val="32"/>
        </w:rPr>
      </w:pPr>
      <w:r>
        <w:rPr>
          <w:rFonts w:hint="eastAsia" w:ascii="宋体" w:hAnsi="宋体" w:eastAsia="宋体" w:cs="Times New Roman"/>
          <w:b/>
          <w:bCs/>
          <w:sz w:val="32"/>
          <w:szCs w:val="32"/>
        </w:rPr>
        <w:t>（二）机构设置</w:t>
      </w:r>
    </w:p>
    <w:p>
      <w:pPr>
        <w:pStyle w:val="7"/>
        <w:adjustRightInd w:val="0"/>
        <w:snapToGrid w:val="0"/>
        <w:spacing w:line="560" w:lineRule="exact"/>
        <w:rPr>
          <w:rFonts w:ascii="宋体" w:hAnsi="宋体"/>
          <w:b/>
          <w:bCs/>
          <w:sz w:val="32"/>
          <w:szCs w:val="32"/>
        </w:rPr>
      </w:pPr>
      <w:r>
        <w:rPr>
          <w:rFonts w:hint="eastAsia" w:ascii="FangSong_GB2312" w:eastAsia="FangSong_GB2312"/>
          <w:sz w:val="32"/>
          <w:szCs w:val="32"/>
        </w:rPr>
        <w:t>部门内</w:t>
      </w:r>
      <w:r>
        <w:rPr>
          <w:rFonts w:ascii="FangSong_GB2312" w:eastAsia="FangSong_GB2312"/>
          <w:sz w:val="32"/>
          <w:szCs w:val="32"/>
        </w:rPr>
        <w:t>设机构</w:t>
      </w:r>
      <w:r>
        <w:rPr>
          <w:rFonts w:hint="eastAsia" w:ascii="FangSong_GB2312" w:eastAsia="FangSong_GB2312"/>
          <w:sz w:val="32"/>
          <w:szCs w:val="32"/>
        </w:rPr>
        <w:t>3个</w:t>
      </w:r>
      <w:r>
        <w:rPr>
          <w:rFonts w:ascii="FangSong_GB2312" w:eastAsia="FangSong_GB2312"/>
          <w:sz w:val="32"/>
          <w:szCs w:val="32"/>
        </w:rPr>
        <w:t>，</w:t>
      </w:r>
      <w:r>
        <w:rPr>
          <w:rFonts w:hint="eastAsia" w:ascii="FangSong_GB2312" w:eastAsia="FangSong_GB2312"/>
          <w:sz w:val="32"/>
          <w:szCs w:val="32"/>
        </w:rPr>
        <w:t>包括3</w:t>
      </w:r>
      <w:r>
        <w:rPr>
          <w:rFonts w:ascii="FangSong_GB2312" w:eastAsia="FangSong_GB2312"/>
          <w:sz w:val="32"/>
          <w:szCs w:val="32"/>
        </w:rPr>
        <w:t>个</w:t>
      </w:r>
      <w:r>
        <w:rPr>
          <w:rFonts w:hint="eastAsia" w:ascii="FangSong_GB2312" w:eastAsia="FangSong_GB2312"/>
          <w:sz w:val="32"/>
          <w:szCs w:val="32"/>
        </w:rPr>
        <w:t>处</w:t>
      </w:r>
      <w:r>
        <w:rPr>
          <w:rFonts w:ascii="FangSong_GB2312" w:eastAsia="FangSong_GB2312"/>
          <w:sz w:val="32"/>
          <w:szCs w:val="32"/>
        </w:rPr>
        <w:t>（</w:t>
      </w:r>
      <w:r>
        <w:rPr>
          <w:rFonts w:hint="eastAsia" w:ascii="FangSong_GB2312" w:eastAsia="FangSong_GB2312"/>
          <w:sz w:val="32"/>
          <w:szCs w:val="32"/>
        </w:rPr>
        <w:t>社会保险服务中心；养老、失业、医疗、工伤、生育、农保</w:t>
      </w:r>
      <w:r>
        <w:rPr>
          <w:rFonts w:hint="eastAsia" w:ascii="黑体" w:eastAsia="黑体"/>
          <w:kern w:val="2"/>
          <w:sz w:val="32"/>
          <w:szCs w:val="32"/>
        </w:rPr>
        <w:t>；</w:t>
      </w:r>
      <w:r>
        <w:rPr>
          <w:rFonts w:hint="eastAsia" w:ascii="FangSong_GB2312" w:eastAsia="FangSong_GB2312"/>
          <w:sz w:val="32"/>
          <w:szCs w:val="32"/>
        </w:rPr>
        <w:t>综合培训中心）。</w:t>
      </w:r>
      <w:r>
        <w:rPr>
          <w:rFonts w:hint="eastAsia" w:ascii="宋体" w:hAnsi="宋体"/>
          <w:b/>
          <w:bCs/>
          <w:sz w:val="32"/>
          <w:szCs w:val="32"/>
        </w:rPr>
        <w:t>二、部门预算单位构成</w:t>
      </w:r>
    </w:p>
    <w:p>
      <w:pPr>
        <w:pStyle w:val="8"/>
        <w:adjustRightInd w:val="0"/>
        <w:snapToGrid w:val="0"/>
        <w:spacing w:line="560" w:lineRule="exact"/>
        <w:ind w:firstLine="640" w:firstLineChars="200"/>
        <w:rPr>
          <w:rFonts w:ascii="黑体" w:hAnsi="宋体" w:eastAsia="黑体"/>
          <w:sz w:val="48"/>
          <w:szCs w:val="48"/>
        </w:rPr>
      </w:pPr>
      <w:r>
        <w:rPr>
          <w:rFonts w:hint="eastAsia" w:ascii="FangSong_GB2312" w:eastAsia="FangSong_GB2312"/>
          <w:sz w:val="32"/>
          <w:szCs w:val="32"/>
        </w:rPr>
        <w:t>察隅县人力资源和社会保障局机关行政（社会保险服务中心（养老、失业、医疗、工伤、生育、农保</w:t>
      </w:r>
      <w:r>
        <w:rPr>
          <w:rFonts w:hint="eastAsia" w:ascii="黑体" w:eastAsia="黑体"/>
          <w:kern w:val="2"/>
          <w:sz w:val="32"/>
          <w:szCs w:val="32"/>
        </w:rPr>
        <w:t>、</w:t>
      </w:r>
      <w:r>
        <w:rPr>
          <w:rFonts w:hint="eastAsia" w:ascii="FangSong_GB2312" w:eastAsia="FangSong_GB2312"/>
          <w:sz w:val="32"/>
          <w:szCs w:val="32"/>
        </w:rPr>
        <w:t>综合培训中心）</w:t>
      </w:r>
    </w:p>
    <w:p>
      <w:pPr>
        <w:pStyle w:val="8"/>
        <w:adjustRightInd w:val="0"/>
        <w:snapToGrid w:val="0"/>
        <w:spacing w:line="560" w:lineRule="exact"/>
        <w:ind w:firstLine="960" w:firstLineChars="200"/>
        <w:rPr>
          <w:rFonts w:ascii="黑体" w:hAnsi="宋体" w:eastAsia="黑体"/>
          <w:sz w:val="48"/>
          <w:szCs w:val="48"/>
        </w:rPr>
      </w:pPr>
    </w:p>
    <w:p>
      <w:pPr>
        <w:spacing w:line="560" w:lineRule="exact"/>
        <w:jc w:val="center"/>
        <w:rPr>
          <w:rFonts w:ascii="黑体" w:hAnsi="黑体" w:eastAsia="黑体"/>
          <w:b/>
          <w:snapToGrid w:val="0"/>
          <w:w w:val="95"/>
          <w:sz w:val="44"/>
          <w:szCs w:val="44"/>
        </w:rPr>
      </w:pPr>
    </w:p>
    <w:p>
      <w:pPr>
        <w:spacing w:line="560" w:lineRule="exact"/>
        <w:jc w:val="center"/>
        <w:rPr>
          <w:rFonts w:ascii="黑体" w:hAnsi="黑体" w:eastAsia="黑体"/>
          <w:b/>
          <w:snapToGrid w:val="0"/>
          <w:w w:val="95"/>
          <w:sz w:val="44"/>
          <w:szCs w:val="44"/>
        </w:rPr>
      </w:pPr>
    </w:p>
    <w:p>
      <w:pPr>
        <w:spacing w:line="560" w:lineRule="exact"/>
        <w:jc w:val="center"/>
        <w:rPr>
          <w:rFonts w:ascii="黑体" w:hAnsi="黑体" w:eastAsia="黑体"/>
          <w:b/>
          <w:snapToGrid w:val="0"/>
          <w:w w:val="95"/>
          <w:sz w:val="44"/>
          <w:szCs w:val="44"/>
        </w:rPr>
      </w:pPr>
      <w:r>
        <w:rPr>
          <w:rFonts w:hint="eastAsia" w:ascii="黑体" w:hAnsi="黑体" w:eastAsia="黑体"/>
          <w:b/>
          <w:snapToGrid w:val="0"/>
          <w:w w:val="95"/>
          <w:sz w:val="44"/>
          <w:szCs w:val="44"/>
        </w:rPr>
        <w:t>第二部分  察隅县人力资源和社会保障局2021年度部门预算明细表（详见附件）</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p>
    <w:p>
      <w:pPr>
        <w:spacing w:line="560" w:lineRule="exact"/>
        <w:rPr>
          <w:rFonts w:ascii="黑体" w:hAnsi="黑体" w:eastAsia="黑体"/>
          <w:b/>
          <w:snapToGrid w:val="0"/>
          <w:w w:val="95"/>
          <w:sz w:val="44"/>
          <w:szCs w:val="44"/>
        </w:rPr>
      </w:pPr>
      <w:r>
        <w:rPr>
          <w:rFonts w:hint="eastAsia" w:ascii="黑体" w:hAnsi="黑体" w:eastAsia="黑体"/>
          <w:b/>
          <w:snapToGrid w:val="0"/>
          <w:w w:val="95"/>
          <w:sz w:val="44"/>
          <w:szCs w:val="44"/>
        </w:rPr>
        <w:t>第三部分  察隅县人力资源和社会保障局2021年度部门预算数据分析</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例如：2021年收支总预算 1531.99万元。收入包括：一般公共预算拨款收入；支出包括：一般公共服务支出、社会保障和就业支出。</w:t>
      </w:r>
    </w:p>
    <w:p>
      <w:pPr>
        <w:rPr>
          <w:rFonts w:ascii="黑体" w:hAnsi="黑体" w:eastAsia="黑体"/>
          <w:sz w:val="32"/>
          <w:szCs w:val="32"/>
        </w:rPr>
      </w:pP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例如：收入预算  2126.85万元，其中：上年结转594.86万元， 占  27.97%；一般公共预算拨款收入1531.99万元，占 72.03%。</w:t>
      </w:r>
    </w:p>
    <w:p>
      <w:pPr>
        <w:rPr>
          <w:rFonts w:ascii="黑体" w:hAnsi="黑体" w:eastAsia="黑体"/>
          <w:sz w:val="32"/>
          <w:szCs w:val="32"/>
        </w:rPr>
      </w:pP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 1531.99万元，其中：基本支出1187.64万元，占 77.52%；项目支出 344.35万元，占 22.48%。</w:t>
      </w:r>
    </w:p>
    <w:p>
      <w:pPr>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2021年财政拨款收支总预算1531.99万元。收入为一般公共预算拨款，包括：一般公共预算当年拨款收入1531.99万元；支出包括：一般公共服务支出1531.99万元、上年结转594.86万元。</w:t>
      </w:r>
    </w:p>
    <w:p>
      <w:pPr>
        <w:rPr>
          <w:rFonts w:ascii="黑体" w:hAnsi="黑体" w:eastAsia="黑体"/>
          <w:sz w:val="32"/>
          <w:szCs w:val="32"/>
        </w:rPr>
      </w:pP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2021年一般公共预算当年拨款1531.99万元,比20</w:t>
      </w:r>
      <w:r>
        <w:rPr>
          <w:rFonts w:ascii="仿宋" w:hAnsi="仿宋" w:eastAsia="仿宋"/>
          <w:sz w:val="32"/>
          <w:szCs w:val="32"/>
        </w:rPr>
        <w:t>20</w:t>
      </w:r>
      <w:r>
        <w:rPr>
          <w:rFonts w:hint="eastAsia" w:ascii="仿宋" w:hAnsi="仿宋" w:eastAsia="仿宋"/>
          <w:sz w:val="32"/>
          <w:szCs w:val="32"/>
        </w:rPr>
        <w:t xml:space="preserve"> 年执行数减少 743.54万元，主要原因：项目支出减少。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一般公共服务支出1531.99万元，占100%。</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spacing w:after="0" w:line="560"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 社会保障和就业支出（类）人力资源和社会保障管理事务（款）行政运行（项）2021年预算数为1187.64万元。主要是奖金、津贴补贴、基本工资、休假探亲费、公用经费。</w:t>
      </w:r>
    </w:p>
    <w:p>
      <w:pPr>
        <w:spacing w:after="0" w:line="560" w:lineRule="exac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 社会保障和就业支出（类）人力资源和社会保障管理事务（款）一般行政管理事务（项）2021年预算数为2.35万元。</w:t>
      </w:r>
    </w:p>
    <w:p>
      <w:pPr>
        <w:spacing w:after="0" w:line="560"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 社会保障和就业支出（类）人力资源和社会保障管理事务（款）劳动保障监察（项）2021年预算数为10万元万元，与2020年执行数持平。</w:t>
      </w:r>
    </w:p>
    <w:p>
      <w:pPr>
        <w:spacing w:after="0" w:line="560"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4. 社会保障和就业支出（类）人力资源和社会保障管理事务（款）其他人力资源和社会保障管理事务支出（项）2021年预算数为322万元。</w:t>
      </w:r>
    </w:p>
    <w:p>
      <w:pPr>
        <w:spacing w:after="0" w:line="560" w:lineRule="exact"/>
        <w:ind w:firstLine="640" w:firstLineChars="20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5. 社会保障和就业支出（类）人力资源和社会保障管理事务（款）其他就业补助支出（项）2021年预算数为10万元。</w:t>
      </w:r>
    </w:p>
    <w:p>
      <w:pPr>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2021年一般公共预算基本支出1531.99万元，其中：</w:t>
      </w:r>
    </w:p>
    <w:p>
      <w:pPr>
        <w:rPr>
          <w:rFonts w:ascii="仿宋" w:hAnsi="仿宋" w:eastAsia="仿宋"/>
          <w:sz w:val="32"/>
          <w:szCs w:val="32"/>
        </w:rPr>
      </w:pPr>
      <w:r>
        <w:rPr>
          <w:rFonts w:hint="eastAsia" w:ascii="仿宋" w:hAnsi="仿宋" w:eastAsia="仿宋"/>
          <w:sz w:val="32"/>
          <w:szCs w:val="32"/>
        </w:rPr>
        <w:t>人员经费 1135.23  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 49.1  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2021年“三公”经费预算数为 7.79万元，其中：因公出国（境）费  0 万元，公务用车购置费0万元，与去年相比持平；公务用车运行费 4.56  万元，公务接待费 3.23  万元。2021年“三公”经费预算比2020年增加 2 万元，增长 20.43%，主要原因是</w:t>
      </w:r>
      <w:r>
        <w:rPr>
          <w:rFonts w:hint="eastAsia" w:ascii="FangSong_GB2312" w:hAnsi="黑体" w:eastAsia="FangSong_GB2312"/>
          <w:snapToGrid w:val="0"/>
          <w:w w:val="95"/>
          <w:sz w:val="32"/>
          <w:szCs w:val="32"/>
        </w:rPr>
        <w:t>人员增加，计提比例增加。</w:t>
      </w:r>
    </w:p>
    <w:p>
      <w:pPr>
        <w:ind w:firstLine="640" w:firstLineChars="200"/>
        <w:rPr>
          <w:rFonts w:ascii="仿宋" w:hAnsi="仿宋" w:eastAsia="仿宋"/>
          <w:sz w:val="32"/>
          <w:szCs w:val="32"/>
        </w:rPr>
      </w:pPr>
      <w:r>
        <w:rPr>
          <w:rFonts w:hint="eastAsia" w:ascii="仿宋" w:hAnsi="仿宋" w:eastAsia="仿宋"/>
          <w:sz w:val="32"/>
          <w:szCs w:val="32"/>
        </w:rPr>
        <w:t>因公出国（境） 0  团组、0 人，公务用车购置   辆、保有  0 量，国内公务接待  0 批次、0  人。</w:t>
      </w:r>
    </w:p>
    <w:p>
      <w:pPr>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  0 万元,比2020年执行数减少</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 xml:space="preserve">  </w:t>
      </w:r>
      <w:r>
        <w:rPr>
          <w:rFonts w:hint="eastAsia" w:ascii="仿宋" w:hAnsi="仿宋" w:eastAsia="仿宋"/>
          <w:sz w:val="32"/>
          <w:szCs w:val="32"/>
        </w:rPr>
        <w:t>万元。我部门2021年度没有使用政府性基金安排的支出。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年部门县级人社局  1 家行政单位的机关运行经费财政拨款预算</w:t>
      </w:r>
      <w:r>
        <w:rPr>
          <w:rFonts w:ascii="仿宋" w:hAnsi="仿宋" w:eastAsia="仿宋"/>
          <w:sz w:val="32"/>
          <w:szCs w:val="32"/>
        </w:rPr>
        <w:t xml:space="preserve">  </w:t>
      </w:r>
      <w:r>
        <w:rPr>
          <w:rFonts w:hint="eastAsia" w:ascii="仿宋" w:hAnsi="仿宋" w:eastAsia="仿宋"/>
          <w:sz w:val="32"/>
          <w:szCs w:val="32"/>
        </w:rPr>
        <w:t>7.79</w:t>
      </w:r>
      <w:r>
        <w:rPr>
          <w:rFonts w:ascii="仿宋" w:hAnsi="仿宋" w:eastAsia="仿宋"/>
          <w:sz w:val="32"/>
          <w:szCs w:val="32"/>
        </w:rPr>
        <w:t xml:space="preserve"> </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年预算增加 2 万元，增长 20.43  %，主要原因是人员增加，计提比例增加。</w:t>
      </w:r>
    </w:p>
    <w:p>
      <w:pPr>
        <w:autoSpaceDE w:val="0"/>
        <w:autoSpaceDN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ind w:firstLine="640" w:firstLineChars="200"/>
        <w:rPr>
          <w:rFonts w:ascii="FangSong_GB2312" w:hAnsi="Calibri" w:eastAsia="FangSong_GB2312" w:cs="FangSong_GB2312"/>
          <w:sz w:val="32"/>
          <w:szCs w:val="32"/>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FangSong_GB2312" w:hAnsi="Calibri" w:eastAsia="FangSong_GB2312" w:cs="FangSong_GB2312"/>
          <w:sz w:val="32"/>
          <w:szCs w:val="32"/>
        </w:rPr>
        <w:t xml:space="preserve">   </w:t>
      </w:r>
      <w:r>
        <w:rPr>
          <w:rFonts w:hint="eastAsia" w:ascii="仿宋" w:hAnsi="仿宋" w:eastAsia="仿宋"/>
          <w:sz w:val="32"/>
          <w:szCs w:val="32"/>
        </w:rPr>
        <w:t>万元，其中：政府采购货物预算 0  万元、政府采购工程预算  0 万元、政府采购服务预算 0  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 12  月底，本</w:t>
      </w:r>
      <w:r>
        <w:rPr>
          <w:rFonts w:ascii="仿宋" w:hAnsi="仿宋" w:eastAsia="仿宋"/>
          <w:sz w:val="32"/>
          <w:szCs w:val="32"/>
        </w:rPr>
        <w:t>部门</w:t>
      </w:r>
      <w:r>
        <w:rPr>
          <w:rFonts w:hint="eastAsia" w:ascii="仿宋" w:hAnsi="仿宋" w:eastAsia="仿宋"/>
          <w:sz w:val="32"/>
          <w:szCs w:val="32"/>
        </w:rPr>
        <w:t>及所属各预算单位共有车辆  0 辆，其中， 0  级领导干部用车（含在职和离退休部级干部用车）  0 辆、机要通信用车 0  辆、应急保障用车</w:t>
      </w:r>
      <w:r>
        <w:rPr>
          <w:rFonts w:hint="eastAsia" w:ascii="FangSong_GB2312" w:hAnsi="Calibri" w:eastAsia="FangSong_GB2312" w:cs="FangSong_GB2312"/>
          <w:sz w:val="32"/>
          <w:szCs w:val="32"/>
        </w:rPr>
        <w:t xml:space="preserve">  </w:t>
      </w:r>
      <w:r>
        <w:rPr>
          <w:rFonts w:hint="eastAsia" w:ascii="仿宋" w:hAnsi="仿宋" w:eastAsia="仿宋"/>
          <w:sz w:val="32"/>
          <w:szCs w:val="32"/>
        </w:rPr>
        <w:t>0 辆、执法执勤用车 0  辆、特种专业技术用车   辆、其他用车 0  辆，其他用车主要是 0  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2021年实现财政支出绩效目标管理全覆盖，实行绩效目标管理 0  个，资金  0 万元，其中：中央转移支付资金  0 万元，地方资金 0  万元。重点项目（见名词解释）实行绩效目标管理  0 个，分别是（项目名称 0  ，资金   0万元），占年初项目支出预算总额的 0  %。</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60" w:lineRule="exact"/>
        <w:rPr>
          <w:rFonts w:ascii="楷体" w:hAnsi="楷体" w:eastAsia="楷体"/>
          <w:sz w:val="32"/>
          <w:szCs w:val="32"/>
        </w:rPr>
      </w:pPr>
      <w:r>
        <w:rPr>
          <w:rFonts w:hint="eastAsia" w:ascii="楷体" w:hAnsi="楷体" w:eastAsia="楷体"/>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spacing w:line="560" w:lineRule="exact"/>
        <w:ind w:firstLine="1440" w:firstLineChars="450"/>
        <w:rPr>
          <w:rFonts w:ascii="楷体" w:hAnsi="楷体" w:eastAsia="楷体"/>
          <w:sz w:val="32"/>
          <w:szCs w:val="32"/>
        </w:rPr>
      </w:pPr>
      <w:r>
        <w:rPr>
          <w:rFonts w:hint="eastAsia" w:ascii="楷体" w:hAnsi="楷体" w:eastAsia="楷体"/>
          <w:sz w:val="32"/>
          <w:szCs w:val="32"/>
        </w:rPr>
        <w:t>无</w:t>
      </w:r>
    </w:p>
    <w:p>
      <w:pPr>
        <w:spacing w:after="0" w:line="560" w:lineRule="exact"/>
        <w:ind w:firstLine="835" w:firstLineChars="200"/>
        <w:jc w:val="center"/>
        <w:rPr>
          <w:rFonts w:hint="eastAsia"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第四部分  名词解释</w:t>
      </w:r>
    </w:p>
    <w:p>
      <w:pPr>
        <w:spacing w:after="0" w:line="560" w:lineRule="exact"/>
        <w:ind w:firstLine="640" w:firstLineChars="200"/>
        <w:jc w:val="both"/>
        <w:rPr>
          <w:rFonts w:ascii="黑体" w:hAnsi="黑体" w:eastAsia="黑体" w:cs="黑体"/>
          <w:sz w:val="32"/>
          <w:szCs w:val="32"/>
        </w:rPr>
      </w:pPr>
    </w:p>
    <w:p>
      <w:pPr>
        <w:spacing w:after="0" w:line="560" w:lineRule="exact"/>
        <w:ind w:firstLine="640" w:firstLineChars="200"/>
        <w:jc w:val="both"/>
        <w:rPr>
          <w:rFonts w:ascii="FangSong_GB2312" w:hAnsi="宋体" w:eastAsia="FangSong_GB2312" w:cs="宋体"/>
          <w:sz w:val="32"/>
          <w:szCs w:val="32"/>
        </w:rPr>
      </w:pPr>
      <w:r>
        <w:rPr>
          <w:rFonts w:hint="eastAsia" w:ascii="黑体" w:hAnsi="黑体" w:eastAsia="黑体" w:cs="黑体"/>
          <w:sz w:val="32"/>
          <w:szCs w:val="32"/>
        </w:rPr>
        <w:t>一、一般公共预算拨款收入</w:t>
      </w:r>
      <w:r>
        <w:rPr>
          <w:rFonts w:hint="eastAsia" w:ascii="FangSong_GB2312" w:hAnsi="宋体" w:eastAsia="FangSong_GB2312" w:cs="宋体"/>
          <w:sz w:val="32"/>
          <w:szCs w:val="32"/>
        </w:rPr>
        <w:t>：指本级财政当年拨付的资金。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二、其他收入：</w:t>
      </w:r>
      <w:r>
        <w:rPr>
          <w:rFonts w:hint="eastAsia" w:ascii="FangSong_GB2312" w:hAnsi="仿宋" w:eastAsia="FangSong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三、上年结转：</w:t>
      </w:r>
      <w:r>
        <w:rPr>
          <w:rFonts w:hint="eastAsia" w:ascii="FangSong_GB2312" w:hAnsi="仿宋" w:eastAsia="FangSong_GB2312"/>
          <w:sz w:val="32"/>
          <w:szCs w:val="32"/>
        </w:rPr>
        <w:t>指以前年度安排、结转到本年仍按原规定用途继续使用的资金。</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四、一般公共服务支出：</w:t>
      </w:r>
      <w:r>
        <w:rPr>
          <w:rFonts w:hint="eastAsia" w:ascii="FangSong_GB2312" w:hAnsi="仿宋" w:eastAsia="FangSong_GB2312"/>
          <w:sz w:val="32"/>
          <w:szCs w:val="32"/>
        </w:rPr>
        <w:t>反应政府提供一般公共服务的支出。</w:t>
      </w:r>
    </w:p>
    <w:p>
      <w:pPr>
        <w:autoSpaceDE w:val="0"/>
        <w:autoSpaceDN w:val="0"/>
        <w:spacing w:after="0" w:line="560" w:lineRule="exact"/>
        <w:ind w:firstLine="640" w:firstLineChars="200"/>
        <w:jc w:val="both"/>
        <w:rPr>
          <w:rFonts w:ascii="FangSong_GB2312" w:hAnsi="Calibri" w:eastAsia="FangSong_GB2312" w:cs="FangSong_GB2312"/>
          <w:sz w:val="32"/>
          <w:szCs w:val="32"/>
        </w:rPr>
      </w:pPr>
      <w:r>
        <w:rPr>
          <w:rFonts w:hint="eastAsia" w:ascii="黑体" w:hAnsi="黑体" w:eastAsia="黑体"/>
          <w:sz w:val="32"/>
          <w:szCs w:val="32"/>
        </w:rPr>
        <w:t>五、基本支出：</w:t>
      </w:r>
      <w:r>
        <w:rPr>
          <w:rFonts w:hint="eastAsia" w:ascii="FangSong_GB2312" w:hAnsi="仿宋" w:eastAsia="FangSong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六、项目支出：</w:t>
      </w:r>
      <w:r>
        <w:rPr>
          <w:rFonts w:hint="eastAsia" w:ascii="FangSong_GB2312" w:hAnsi="仿宋" w:eastAsia="FangSong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七、住房保障支出：</w:t>
      </w:r>
      <w:r>
        <w:rPr>
          <w:rFonts w:hint="eastAsia" w:ascii="FangSong_GB2312" w:hAnsi="仿宋" w:eastAsia="FangSong_GB2312"/>
          <w:sz w:val="32"/>
          <w:szCs w:val="32"/>
        </w:rPr>
        <w:t>集中反映政府用于住房方面的支出。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FangSong_GB2312" w:hAnsi="仿宋" w:eastAsia="FangSong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FangSong_GB2312" w:hAnsi="宋体" w:eastAsia="FangSong_GB2312"/>
          <w:sz w:val="32"/>
          <w:szCs w:val="32"/>
        </w:rPr>
      </w:pPr>
      <w:r>
        <w:rPr>
          <w:rFonts w:hint="eastAsia" w:ascii="黑体" w:hAnsi="黑体" w:eastAsia="黑体" w:cs="黑体"/>
          <w:sz w:val="32"/>
          <w:szCs w:val="32"/>
        </w:rPr>
        <w:t>九、“三公”经费：</w:t>
      </w:r>
      <w:r>
        <w:rPr>
          <w:rFonts w:hint="eastAsia" w:ascii="FangSong_GB2312" w:hAnsi="宋体" w:eastAsia="FangSong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十、重点项目：</w:t>
      </w:r>
      <w:r>
        <w:rPr>
          <w:rFonts w:hint="eastAsia" w:ascii="FangSong_GB2312" w:hAnsi="仿宋" w:eastAsia="FangSong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val="0"/>
        <w:adjustRightInd/>
        <w:snapToGrid/>
        <w:spacing w:after="0"/>
        <w:jc w:val="both"/>
        <w:rPr>
          <w:rFonts w:ascii="FangSong_GB2312" w:hAnsi="宋体" w:eastAsia="FangSong_GB2312"/>
          <w:sz w:val="32"/>
          <w:szCs w:val="32"/>
        </w:rPr>
      </w:pPr>
    </w:p>
    <w:p>
      <w:pPr>
        <w:pStyle w:val="6"/>
        <w:widowControl w:val="0"/>
        <w:adjustRightInd/>
        <w:snapToGrid/>
        <w:spacing w:after="0"/>
        <w:ind w:left="420" w:firstLine="0" w:firstLineChars="0"/>
        <w:jc w:val="both"/>
        <w:rPr>
          <w:rFonts w:ascii="方正仿宋简体" w:hAnsi="宋体" w:eastAsia="方正仿宋简体" w:cs="宋体"/>
          <w:sz w:val="32"/>
          <w:szCs w:val="32"/>
        </w:rPr>
      </w:pPr>
    </w:p>
    <w:p>
      <w:pPr>
        <w:spacing w:line="220" w:lineRule="atLeast"/>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uiPriority w:val="1"/>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character" w:styleId="5">
    <w:name w:val="Strong"/>
    <w:basedOn w:val="4"/>
    <w:qFormat/>
    <w:uiPriority w:val="22"/>
    <w:rPr>
      <w:b/>
      <w:bCs/>
    </w:rPr>
  </w:style>
  <w:style w:type="paragraph" w:customStyle="1" w:styleId="6">
    <w:name w:val="List Paragraph"/>
    <w:basedOn w:val="1"/>
    <w:qFormat/>
    <w:uiPriority w:val="34"/>
    <w:pPr>
      <w:ind w:firstLine="420" w:firstLineChars="200"/>
    </w:pPr>
  </w:style>
  <w:style w:type="paragraph" w:customStyle="1" w:styleId="7">
    <w:name w:val="p0"/>
    <w:basedOn w:val="1"/>
    <w:qFormat/>
    <w:uiPriority w:val="0"/>
    <w:pPr>
      <w:adjustRightInd/>
      <w:snapToGrid/>
      <w:spacing w:after="0" w:line="365" w:lineRule="atLeast"/>
      <w:ind w:left="1"/>
      <w:jc w:val="both"/>
      <w:textAlignment w:val="bottom"/>
    </w:pPr>
    <w:rPr>
      <w:rFonts w:ascii="Times New Roman" w:hAnsi="Times New Roman" w:eastAsia="宋体" w:cs="Times New Roman"/>
      <w:sz w:val="20"/>
      <w:szCs w:val="20"/>
    </w:rPr>
  </w:style>
  <w:style w:type="paragraph" w:customStyle="1" w:styleId="8">
    <w:name w:val="p15"/>
    <w:basedOn w:val="1"/>
    <w:uiPriority w:val="0"/>
    <w:pPr>
      <w:adjustRightInd/>
      <w:snapToGrid/>
      <w:spacing w:after="0"/>
      <w:jc w:val="both"/>
    </w:pPr>
    <w:rPr>
      <w:rFonts w:ascii="Times New Roman" w:hAnsi="Times New Roman" w:eastAsia="宋体" w:cs="Times New Roman"/>
      <w:sz w:val="21"/>
      <w:szCs w:val="21"/>
    </w:rPr>
  </w:style>
  <w:style w:type="character" w:customStyle="1" w:styleId="9">
    <w:name w:val="页眉 Char"/>
    <w:basedOn w:val="4"/>
    <w:link w:val="3"/>
    <w:semiHidden/>
    <w:qFormat/>
    <w:uiPriority w:val="99"/>
    <w:rPr>
      <w:rFonts w:ascii="Tahoma" w:hAnsi="Tahoma"/>
      <w:sz w:val="18"/>
      <w:szCs w:val="18"/>
    </w:rPr>
  </w:style>
  <w:style w:type="character" w:customStyle="1" w:styleId="10">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760</Words>
  <Characters>4336</Characters>
  <Lines>36</Lines>
  <Paragraphs>10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2023-04-20T08:50:29Z</dcterms:modified>
  <dc:title>察隅县人力资源和社会保障局2021年度部门预算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