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黑体" w:eastAsia="黑体"/>
          <w:b/>
          <w:sz w:val="52"/>
          <w:szCs w:val="52"/>
        </w:rPr>
      </w:pPr>
    </w:p>
    <w:p>
      <w:pPr>
        <w:spacing w:line="640" w:lineRule="exact"/>
        <w:rPr>
          <w:rFonts w:ascii="黑体" w:eastAsia="黑体"/>
          <w:b/>
          <w:sz w:val="52"/>
          <w:szCs w:val="52"/>
        </w:rPr>
      </w:pPr>
    </w:p>
    <w:p>
      <w:pPr>
        <w:spacing w:line="640" w:lineRule="exact"/>
        <w:rPr>
          <w:rFonts w:ascii="黑体" w:eastAsia="黑体"/>
          <w:b/>
          <w:sz w:val="52"/>
          <w:szCs w:val="52"/>
        </w:rPr>
      </w:pPr>
    </w:p>
    <w:p>
      <w:pPr>
        <w:spacing w:line="640" w:lineRule="exact"/>
        <w:jc w:val="center"/>
        <w:rPr>
          <w:rFonts w:hint="eastAsia" w:ascii="黑体" w:eastAsia="黑体"/>
          <w:b/>
          <w:sz w:val="52"/>
          <w:szCs w:val="52"/>
          <w:lang w:eastAsia="zh-CN"/>
        </w:rPr>
      </w:pPr>
      <w:r>
        <w:rPr>
          <w:rFonts w:hint="eastAsia" w:ascii="黑体" w:eastAsia="黑体"/>
          <w:b/>
          <w:sz w:val="52"/>
          <w:szCs w:val="52"/>
        </w:rPr>
        <w:t>西藏察隅县人</w:t>
      </w:r>
      <w:r>
        <w:rPr>
          <w:rFonts w:hint="eastAsia" w:ascii="黑体" w:eastAsia="黑体"/>
          <w:b/>
          <w:sz w:val="52"/>
          <w:szCs w:val="52"/>
          <w:lang w:eastAsia="zh-CN"/>
        </w:rPr>
        <w:t>民代表大会</w:t>
      </w:r>
      <w:r>
        <w:rPr>
          <w:rFonts w:hint="eastAsia" w:ascii="黑体" w:eastAsia="黑体"/>
          <w:b/>
          <w:sz w:val="52"/>
          <w:szCs w:val="52"/>
        </w:rPr>
        <w:t>常</w:t>
      </w:r>
      <w:r>
        <w:rPr>
          <w:rFonts w:hint="eastAsia" w:ascii="黑体" w:eastAsia="黑体"/>
          <w:b/>
          <w:sz w:val="52"/>
          <w:szCs w:val="52"/>
          <w:lang w:eastAsia="zh-CN"/>
        </w:rPr>
        <w:t>务委员会</w:t>
      </w:r>
      <w:r>
        <w:rPr>
          <w:rFonts w:hint="eastAsia" w:ascii="黑体" w:eastAsia="黑体"/>
          <w:b/>
          <w:sz w:val="52"/>
          <w:szCs w:val="52"/>
        </w:rPr>
        <w:t>办公室</w:t>
      </w:r>
    </w:p>
    <w:p>
      <w:pPr>
        <w:spacing w:line="640" w:lineRule="exact"/>
        <w:jc w:val="center"/>
        <w:rPr>
          <w:rFonts w:ascii="黑体" w:eastAsia="黑体"/>
          <w:b/>
          <w:sz w:val="52"/>
          <w:szCs w:val="52"/>
        </w:rPr>
      </w:pPr>
      <w:r>
        <w:rPr>
          <w:rFonts w:ascii="黑体" w:eastAsia="黑体"/>
          <w:b/>
          <w:sz w:val="52"/>
          <w:szCs w:val="52"/>
        </w:rPr>
        <w:t>202</w:t>
      </w:r>
      <w:r>
        <w:rPr>
          <w:rFonts w:hint="eastAsia" w:ascii="黑体" w:eastAsia="黑体"/>
          <w:b/>
          <w:sz w:val="52"/>
          <w:szCs w:val="52"/>
        </w:rPr>
        <w:t>1年度部门预算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黑体" w:hAnsi="黑体" w:eastAsia="黑体"/>
          <w:b/>
          <w:snapToGrid w:val="0"/>
          <w:w w:val="95"/>
          <w:sz w:val="44"/>
          <w:szCs w:val="44"/>
        </w:rPr>
      </w:pPr>
      <w:r>
        <w:rPr>
          <w:rFonts w:hint="eastAsia" w:ascii="宋体" w:hAnsi="宋体"/>
          <w:sz w:val="32"/>
          <w:szCs w:val="32"/>
          <w:u w:val="none"/>
        </w:rPr>
        <w:t>2021年2月15日</w:t>
      </w: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目录</w:t>
      </w:r>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bookmarkStart w:id="0" w:name="_GoBack"/>
      <w:r>
        <w:rPr>
          <w:rFonts w:hint="eastAsia" w:ascii="方正小标宋简体" w:hAnsi="仿宋" w:eastAsia="方正小标宋简体"/>
          <w:sz w:val="32"/>
          <w:szCs w:val="32"/>
        </w:rPr>
        <w:t xml:space="preserve"> </w:t>
      </w:r>
      <w:bookmarkEnd w:id="0"/>
      <w:r>
        <w:rPr>
          <w:rFonts w:hint="eastAsia" w:ascii="方正小标宋简体" w:hAnsi="仿宋" w:eastAsia="方正小标宋简体"/>
          <w:sz w:val="32"/>
          <w:szCs w:val="32"/>
        </w:rPr>
        <w:t>部门概况</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一、主要职能</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部门2021年度部门预算明细表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一、部门收支总体情况表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二、部门收入总体情况表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三、部门支出总体情况表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四、财政拨款收支总体情况表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五、一般公共预算支出情况表（按功能分类科目）</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六、一般公共预算基本支出情况表（按经济分类款级科目）</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七、一般公共预算“三公”经费支出情况表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八、政府性基金“三公”经费支出情况表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九、政府性基金预算支出情况表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十、政府购买服务预算表</w:t>
      </w:r>
    </w:p>
    <w:p>
      <w:pPr>
        <w:pStyle w:val="11"/>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部门2021年度部门预算数据分析</w:t>
      </w:r>
    </w:p>
    <w:p>
      <w:pPr>
        <w:rPr>
          <w:rFonts w:ascii="仿宋_GB2312" w:hAnsi="宋体" w:eastAsia="仿宋_GB2312"/>
          <w:b/>
          <w:snapToGrid w:val="0"/>
          <w:w w:val="95"/>
          <w:sz w:val="36"/>
          <w:szCs w:val="36"/>
        </w:rPr>
      </w:pPr>
      <w:r>
        <w:rPr>
          <w:rFonts w:hint="eastAsia" w:ascii="方正小标宋简体" w:hAnsi="仿宋" w:eastAsia="方正小标宋简体"/>
          <w:sz w:val="32"/>
          <w:szCs w:val="32"/>
        </w:rPr>
        <w:t>第四部分 名词解释</w:t>
      </w:r>
    </w:p>
    <w:p>
      <w:pPr>
        <w:rPr>
          <w:rFonts w:ascii="宋体" w:hAnsi="宋体"/>
          <w:b/>
          <w:snapToGrid w:val="0"/>
          <w:w w:val="95"/>
          <w:sz w:val="44"/>
          <w:szCs w:val="44"/>
        </w:rPr>
      </w:pPr>
    </w:p>
    <w:p>
      <w:pP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br w:type="page"/>
      </w:r>
    </w:p>
    <w:p>
      <w:pPr>
        <w:spacing w:line="560" w:lineRule="exact"/>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第一部分</w:t>
      </w:r>
      <w:r>
        <w:rPr>
          <w:rFonts w:hint="eastAsia" w:ascii="方正小标宋简体" w:hAnsi="方正小标宋简体" w:eastAsia="方正小标宋简体" w:cs="方正小标宋简体"/>
          <w:kern w:val="2"/>
          <w:sz w:val="44"/>
          <w:szCs w:val="44"/>
          <w:lang w:val="en-US" w:eastAsia="zh-CN"/>
        </w:rPr>
        <w:t xml:space="preserve"> </w:t>
      </w:r>
      <w:r>
        <w:rPr>
          <w:rFonts w:hint="eastAsia" w:ascii="方正小标宋简体" w:hAnsi="方正小标宋简体" w:eastAsia="方正小标宋简体" w:cs="方正小标宋简体"/>
          <w:kern w:val="2"/>
          <w:sz w:val="44"/>
          <w:szCs w:val="44"/>
        </w:rPr>
        <w:t>察隅县人大办概况</w:t>
      </w:r>
    </w:p>
    <w:p>
      <w:pPr>
        <w:rPr>
          <w:rFonts w:ascii="黑体" w:hAnsi="黑体" w:eastAsia="黑体"/>
          <w:sz w:val="32"/>
          <w:szCs w:val="32"/>
        </w:rPr>
      </w:pPr>
      <w:r>
        <w:rPr>
          <w:rFonts w:hint="eastAsia" w:ascii="黑体" w:hAnsi="黑体" w:eastAsia="黑体"/>
          <w:sz w:val="32"/>
          <w:szCs w:val="32"/>
        </w:rPr>
        <w:t>一、主要职能</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一、部门职责</w:t>
      </w:r>
    </w:p>
    <w:p>
      <w:pPr>
        <w:widowControl w:val="0"/>
        <w:numPr>
          <w:ilvl w:val="0"/>
          <w:numId w:val="1"/>
        </w:numPr>
        <w:adjustRightInd/>
        <w:snapToGrid/>
        <w:spacing w:after="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在县人大常委会的领导下，负责检查国家各项法律、法规及自治区人大常委会制定的地方法规的贯彻执行情况；配合有关部门搞好全县的普法工作。</w:t>
      </w:r>
    </w:p>
    <w:p>
      <w:pPr>
        <w:widowControl w:val="0"/>
        <w:numPr>
          <w:ilvl w:val="0"/>
          <w:numId w:val="1"/>
        </w:numPr>
        <w:adjustRightInd/>
        <w:snapToGrid/>
        <w:spacing w:after="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承办县人大代会、常委会的筹备及会务工作。</w:t>
      </w:r>
    </w:p>
    <w:p>
      <w:pPr>
        <w:widowControl w:val="0"/>
        <w:numPr>
          <w:ilvl w:val="0"/>
          <w:numId w:val="1"/>
        </w:numPr>
        <w:adjustRightInd/>
        <w:snapToGrid/>
        <w:spacing w:after="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搞好人大代表的视察活动；督查人大代表提案、建议、批评的落实；负责联系各级人大代表工作；做好人民群众的来信来访工作。</w:t>
      </w:r>
    </w:p>
    <w:p>
      <w:pPr>
        <w:widowControl w:val="0"/>
        <w:numPr>
          <w:ilvl w:val="0"/>
          <w:numId w:val="1"/>
        </w:numPr>
        <w:adjustRightInd/>
        <w:snapToGrid/>
        <w:spacing w:after="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协助县人大常委会做好对“一府两院”的监督工作；指导各乡（镇）人大主席团开好乡（镇）人代表。</w:t>
      </w:r>
    </w:p>
    <w:p>
      <w:pPr>
        <w:widowControl w:val="0"/>
        <w:numPr>
          <w:ilvl w:val="0"/>
          <w:numId w:val="1"/>
        </w:numPr>
        <w:adjustRightInd/>
        <w:snapToGrid/>
        <w:spacing w:after="0" w:line="54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承办县委、县人大常委会交办和地区人大工委办公室委托的其他工作。</w:t>
      </w:r>
    </w:p>
    <w:p>
      <w:pPr>
        <w:rPr>
          <w:rFonts w:ascii="仿宋_GB2312" w:eastAsia="仿宋_GB2312"/>
          <w:b/>
          <w:sz w:val="32"/>
          <w:szCs w:val="32"/>
        </w:rPr>
      </w:pPr>
      <w:r>
        <w:rPr>
          <w:rFonts w:hint="eastAsia" w:ascii="仿宋_GB2312" w:eastAsia="仿宋_GB2312"/>
          <w:b/>
          <w:sz w:val="32"/>
          <w:szCs w:val="32"/>
        </w:rPr>
        <w:t>（二）部门机构设置。</w:t>
      </w:r>
    </w:p>
    <w:p>
      <w:pPr>
        <w:spacing w:line="540" w:lineRule="exact"/>
        <w:ind w:firstLine="160" w:firstLineChars="50"/>
        <w:rPr>
          <w:rFonts w:ascii="仿宋_GB2312" w:hAnsi="黑体" w:eastAsia="仿宋_GB2312"/>
          <w:sz w:val="32"/>
          <w:szCs w:val="32"/>
        </w:rPr>
      </w:pPr>
      <w:r>
        <w:rPr>
          <w:rFonts w:hint="eastAsia" w:ascii="仿宋_GB2312" w:eastAsia="仿宋_GB2312"/>
          <w:sz w:val="32"/>
          <w:szCs w:val="32"/>
        </w:rPr>
        <w:t>部门内</w:t>
      </w:r>
      <w:r>
        <w:rPr>
          <w:rFonts w:ascii="仿宋_GB2312" w:eastAsia="仿宋_GB2312"/>
          <w:sz w:val="32"/>
          <w:szCs w:val="32"/>
        </w:rPr>
        <w:t>设机构</w:t>
      </w:r>
      <w:r>
        <w:rPr>
          <w:rFonts w:hint="eastAsia" w:ascii="仿宋_GB2312" w:eastAsia="仿宋_GB2312"/>
          <w:sz w:val="32"/>
          <w:szCs w:val="32"/>
        </w:rPr>
        <w:t>1个</w:t>
      </w:r>
      <w:r>
        <w:rPr>
          <w:rFonts w:ascii="仿宋_GB2312" w:eastAsia="仿宋_GB2312"/>
          <w:sz w:val="32"/>
          <w:szCs w:val="32"/>
        </w:rPr>
        <w:t>，</w:t>
      </w:r>
      <w:r>
        <w:rPr>
          <w:rFonts w:hint="eastAsia" w:ascii="仿宋_GB2312" w:hAnsi="仿宋_GB2312" w:eastAsia="仿宋_GB2312" w:cs="仿宋_GB2312"/>
          <w:sz w:val="32"/>
          <w:szCs w:val="32"/>
        </w:rPr>
        <w:t>察隅县人大常委办公室。</w:t>
      </w:r>
    </w:p>
    <w:p>
      <w:pPr>
        <w:spacing w:beforeLines="100" w:afterLines="100" w:line="460" w:lineRule="exact"/>
        <w:rPr>
          <w:rFonts w:ascii="仿宋_GB2312" w:eastAsia="仿宋_GB2312"/>
          <w:b/>
          <w:sz w:val="32"/>
          <w:szCs w:val="32"/>
        </w:rPr>
      </w:pPr>
      <w:r>
        <w:rPr>
          <w:rFonts w:hint="eastAsia" w:ascii="仿宋_GB2312" w:eastAsia="仿宋_GB2312"/>
          <w:b/>
          <w:sz w:val="32"/>
          <w:szCs w:val="32"/>
        </w:rPr>
        <w:t>二、部门预算单位构成</w:t>
      </w:r>
    </w:p>
    <w:p>
      <w:pPr>
        <w:spacing w:line="540" w:lineRule="exact"/>
        <w:ind w:firstLine="160" w:firstLineChars="50"/>
        <w:rPr>
          <w:rFonts w:ascii="仿宋_GB2312" w:hAnsi="黑体" w:eastAsia="仿宋_GB2312"/>
          <w:sz w:val="32"/>
          <w:szCs w:val="32"/>
        </w:rPr>
      </w:pPr>
      <w:r>
        <w:rPr>
          <w:rFonts w:hint="eastAsia" w:ascii="仿宋_GB2312" w:hAnsi="仿宋_GB2312" w:eastAsia="仿宋_GB2312" w:cs="仿宋_GB2312"/>
          <w:sz w:val="32"/>
          <w:szCs w:val="32"/>
        </w:rPr>
        <w:t>察隅县人大常委办公室。</w:t>
      </w:r>
    </w:p>
    <w:p>
      <w:pPr>
        <w:widowControl w:val="0"/>
        <w:adjustRightInd/>
        <w:snapToGrid/>
        <w:spacing w:after="0" w:line="540" w:lineRule="exact"/>
        <w:jc w:val="both"/>
        <w:rPr>
          <w:rFonts w:ascii="仿宋_GB2312" w:hAnsi="仿宋_GB2312" w:eastAsia="仿宋_GB2312" w:cs="仿宋_GB2312"/>
          <w:sz w:val="32"/>
          <w:szCs w:val="32"/>
        </w:rPr>
      </w:pPr>
    </w:p>
    <w:p>
      <w:pPr>
        <w:spacing w:line="560" w:lineRule="exact"/>
        <w:jc w:val="center"/>
        <w:rPr>
          <w:rFonts w:ascii="仿宋_GB2312" w:hAnsi="仿宋_GB2312" w:eastAsia="仿宋_GB2312" w:cs="仿宋_GB2312"/>
          <w:sz w:val="32"/>
          <w:szCs w:val="32"/>
        </w:rPr>
      </w:pPr>
    </w:p>
    <w:p>
      <w:pP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br w:type="page"/>
      </w:r>
    </w:p>
    <w:p>
      <w:pPr>
        <w:spacing w:line="560" w:lineRule="exact"/>
        <w:jc w:val="center"/>
        <w:rPr>
          <w:rFonts w:ascii="黑体" w:hAnsi="黑体" w:eastAsia="黑体"/>
          <w:b/>
          <w:snapToGrid w:val="0"/>
          <w:w w:val="95"/>
          <w:sz w:val="44"/>
          <w:szCs w:val="44"/>
        </w:rPr>
      </w:pPr>
      <w:r>
        <w:rPr>
          <w:rFonts w:hint="eastAsia" w:ascii="方正小标宋简体" w:hAnsi="方正小标宋简体" w:eastAsia="方正小标宋简体" w:cs="方正小标宋简体"/>
          <w:kern w:val="2"/>
          <w:sz w:val="44"/>
          <w:szCs w:val="44"/>
        </w:rPr>
        <w:t>第二部分 察隅县人大办2021年度部门预算明细表（详见附件）</w:t>
      </w:r>
    </w:p>
    <w:p>
      <w:pPr>
        <w:spacing w:line="560" w:lineRule="exact"/>
        <w:jc w:val="center"/>
        <w:rPr>
          <w:rFonts w:ascii="黑体" w:hAnsi="黑体" w:eastAsia="黑体"/>
          <w:b/>
          <w:snapToGrid w:val="0"/>
          <w:w w:val="95"/>
          <w:sz w:val="44"/>
          <w:szCs w:val="44"/>
        </w:rPr>
      </w:pP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spacing w:line="220" w:lineRule="atLeast"/>
      </w:pPr>
      <w:r>
        <w:rPr>
          <w:rFonts w:hint="eastAsia" w:ascii="黑体" w:hAnsi="黑体" w:eastAsia="黑体"/>
          <w:sz w:val="32"/>
          <w:szCs w:val="32"/>
        </w:rPr>
        <w:t>十一、项目支出绩效表</w:t>
      </w:r>
    </w:p>
    <w:p>
      <w:pPr>
        <w:spacing w:line="560" w:lineRule="exact"/>
        <w:jc w:val="center"/>
        <w:rPr>
          <w:rFonts w:ascii="黑体" w:hAnsi="黑体" w:eastAsia="黑体"/>
          <w:b/>
          <w:snapToGrid w:val="0"/>
          <w:w w:val="95"/>
          <w:sz w:val="44"/>
          <w:szCs w:val="44"/>
        </w:rPr>
      </w:pPr>
    </w:p>
    <w:p>
      <w:pPr>
        <w:spacing w:line="560" w:lineRule="exact"/>
        <w:jc w:val="center"/>
        <w:rPr>
          <w:rFonts w:ascii="黑体" w:hAnsi="黑体" w:eastAsia="黑体"/>
          <w:b/>
          <w:snapToGrid w:val="0"/>
          <w:w w:val="95"/>
          <w:sz w:val="44"/>
          <w:szCs w:val="44"/>
        </w:rPr>
      </w:pPr>
    </w:p>
    <w:p>
      <w:pPr>
        <w:rPr>
          <w:rFonts w:hint="eastAsia" w:ascii="黑体" w:hAnsi="黑体" w:eastAsia="黑体"/>
          <w:b/>
          <w:snapToGrid w:val="0"/>
          <w:w w:val="95"/>
          <w:sz w:val="44"/>
          <w:szCs w:val="44"/>
        </w:rPr>
      </w:pPr>
      <w:r>
        <w:rPr>
          <w:rFonts w:hint="eastAsia" w:ascii="黑体" w:hAnsi="黑体" w:eastAsia="黑体"/>
          <w:b/>
          <w:snapToGrid w:val="0"/>
          <w:w w:val="95"/>
          <w:sz w:val="44"/>
          <w:szCs w:val="44"/>
        </w:rPr>
        <w:br w:type="page"/>
      </w:r>
    </w:p>
    <w:p>
      <w:pPr>
        <w:spacing w:line="560" w:lineRule="exact"/>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第三部分 察隅县人大办2021年度部门预算数据分析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一、2021年部门收支总表的说明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2021年察隅县人大办部门预算总收入为286.39万元，全部为一般公共预算拨款收入，其中:本年收入286.39万元；无上年结转。总支出为286.39万元，其中: 一般公共服务支出286.39万元，占比100%。收支平衡。</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二、2021年度部门收入总表的说明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2021年总收入预算288.96万元，其中：一般公共预算拨款收入286.39万元，占比99.11%；上年结转2.57万元，占比0.89%%；较2020年增加6.97万元。主要是本单位本年度人员变动，公用经费预算有所增加。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三、2021年部门支出总表的说明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2021年支出预算286.39万元，其中：基本支出249.39万元，占87.08%，主要用于工资福利支出、商品和服务支出；项目支出37万元，占12.92%，主要用于人大代表履职及乡镇人大履职保障等支出。</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四、2021年财政拨款收支总表的说明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default"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2021年财政拨款收支总预算286.39万元，全部为一般公共预算拨款收入，其中:本年收入286.39万元，占100%。支出包括：一般公共服务支出286.39万元、上年结转2.57万元。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五、2021年一般公共预算支出表的说明</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2021年一般公共预算当年拨款286.39万元,比2020年执行数增加4.4万元，主要原因：本单位今年预算增加。</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textAlignment w:val="auto"/>
        <w:rPr>
          <w:rFonts w:hint="eastAsia"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一般公共服务支出286.39万元，占100%。</w:t>
      </w:r>
    </w:p>
    <w:p>
      <w:pPr>
        <w:keepNext w:val="0"/>
        <w:keepLines w:val="0"/>
        <w:pageBreakBefore w:val="0"/>
        <w:widowControl/>
        <w:kinsoku/>
        <w:wordWrap/>
        <w:overflowPunct/>
        <w:topLinePunct w:val="0"/>
        <w:autoSpaceDE/>
        <w:autoSpaceDN/>
        <w:bidi w:val="0"/>
        <w:adjustRightInd w:val="0"/>
        <w:snapToGrid w:val="0"/>
        <w:spacing w:line="560" w:lineRule="exact"/>
        <w:ind w:firstLine="480" w:firstLineChars="150"/>
        <w:textAlignment w:val="auto"/>
        <w:rPr>
          <w:rFonts w:hint="eastAsia"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1.一般公共服务支出（类）财政事务（款）行政运行（项）2021年预算数为286.39万元，比2020年执行数增加4.4万元，下降1.56%。主要是本单位今年预算增加。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六、2021年一般公共预算基本支出表的说明</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2021年一般公共预算基本支出286.39万元，其中：</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人员经费220.21万元，主要包括（以下内容根据部门具体情况进行填列）：工资性支出（基本工资、津贴补贴、奖金）、机关事业单位养老保险缴费、城镇职工基本医疗保险缴费、公务员医疗补助、其他社会保险缴费（失业保险、工伤保险）、其他工资福利支出（个人取暖费、独生子女费、煤油补贴、加班补助、休假探亲费、乡镇教职工生活补助、特级教师津贴、其他工资福利支出）、职业年金缴费、住房公积金、医疗费、对个人和家庭的补助（抚恤金、生活补助、救济费、医疗费补助、助学金、其他对个人和家庭的补助）、其他对个人和家庭的补助（学生助学金、三包经费、学生奖学金、免费教育经费等、营养改善计划试点资金、班主任津贴、西部计划志愿者生活补助）。</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rPr>
          <w:rFonts w:hint="eastAsia" w:ascii="仿宋_GB2312" w:eastAsia="仿宋_GB2312" w:hAnsiTheme="minorHAnsi"/>
          <w:kern w:val="2"/>
          <w:sz w:val="32"/>
          <w:szCs w:val="32"/>
          <w:lang w:val="en-US" w:eastAsia="zh-CN"/>
        </w:rPr>
      </w:pPr>
      <w:r>
        <w:rPr>
          <w:rFonts w:hint="eastAsia" w:ascii="仿宋_GB2312" w:eastAsia="仿宋_GB2312" w:hAnsiTheme="minorHAnsi"/>
          <w:kern w:val="2"/>
          <w:sz w:val="32"/>
          <w:szCs w:val="32"/>
          <w:lang w:val="en-US" w:eastAsia="zh-CN"/>
        </w:rPr>
        <w:t>公用经费21.65万元，主要包括（以下内容根据部门具体情况进行填列）：商品和服务支出（办公费、印刷费、咨询费、手续费、水费、电费、邮电费、取暖费、物业管理费、差旅费、因公出国(境)费用、维修(护)费、租赁费、会议费、培训费、公务接待费、专用材料费、被装购置费、专用燃料费、劳务费、委托业务费、福利费、公务用车运行维护费、其他交通费用、税金及附加费用、公务通讯补贴、离退休人员公用经费、电梯运行维护费、食堂补助、邮寄费、其他商品和服务支出）、工会经费。</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firstLine="640" w:firstLineChars="200"/>
        <w:textAlignment w:val="auto"/>
        <w:rPr>
          <w:rFonts w:hint="eastAsia" w:ascii="黑体" w:hAnsi="黑体" w:eastAsia="黑体"/>
          <w:sz w:val="32"/>
          <w:szCs w:val="32"/>
        </w:rPr>
      </w:pPr>
      <w:r>
        <w:rPr>
          <w:rFonts w:hint="eastAsia" w:ascii="黑体" w:hAnsi="黑体" w:eastAsia="黑体"/>
          <w:sz w:val="32"/>
          <w:szCs w:val="32"/>
        </w:rPr>
        <w:t>七、2021年度一般公共预算“三公”经费预算情况说明</w:t>
      </w:r>
    </w:p>
    <w:p>
      <w:pPr>
        <w:ind w:firstLine="640" w:firstLineChars="200"/>
        <w:jc w:val="both"/>
        <w:rPr>
          <w:rFonts w:hint="eastAsia" w:ascii="仿宋_GB2312" w:hAnsi="仿宋" w:eastAsia="仿宋_GB2312"/>
          <w:sz w:val="32"/>
          <w:szCs w:val="32"/>
          <w:lang w:eastAsia="zh-CN"/>
        </w:rPr>
      </w:pPr>
      <w:r>
        <w:rPr>
          <w:rFonts w:hint="eastAsia" w:ascii="仿宋_GB2312" w:eastAsia="仿宋_GB2312" w:hAnsiTheme="minorHAnsi"/>
          <w:kern w:val="2"/>
          <w:sz w:val="32"/>
          <w:szCs w:val="32"/>
          <w:lang w:val="en-US" w:eastAsia="zh-CN"/>
        </w:rPr>
        <w:t>2021年“三公”经费预算数为3.28万元，2021年“三公”经费预算比2020年减少0.41万元，降低11.11%。</w:t>
      </w:r>
    </w:p>
    <w:p>
      <w:pPr>
        <w:ind w:firstLine="608" w:firstLineChars="200"/>
        <w:jc w:val="both"/>
        <w:rPr>
          <w:rFonts w:hint="eastAsia" w:ascii="仿宋_GB2312" w:hAnsi="仿宋" w:eastAsia="仿宋_GB2312"/>
          <w:sz w:val="32"/>
          <w:szCs w:val="32"/>
          <w:lang w:eastAsia="zh-CN"/>
        </w:rPr>
      </w:pPr>
      <w:r>
        <w:rPr>
          <w:rFonts w:hint="eastAsia" w:ascii="楷体_GB2312" w:hAnsi="楷体_GB2312" w:eastAsia="楷体_GB2312" w:cs="楷体_GB2312"/>
          <w:snapToGrid w:val="0"/>
          <w:w w:val="95"/>
          <w:kern w:val="2"/>
          <w:sz w:val="32"/>
          <w:szCs w:val="32"/>
          <w:highlight w:val="none"/>
          <w:lang w:val="en-US" w:eastAsia="zh-CN"/>
        </w:rPr>
        <w:t>1.因公出国（境）费用。</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年预算数为0万元。为进一步规范因公出国（境）费用管理，我县因公出国（境）费用按照零基预算原则，因此因公出国（境）费用预算为零。</w:t>
      </w:r>
    </w:p>
    <w:p>
      <w:pPr>
        <w:ind w:firstLine="608" w:firstLineChars="200"/>
        <w:jc w:val="both"/>
        <w:rPr>
          <w:rFonts w:hint="eastAsia" w:ascii="仿宋_GB2312" w:hAnsi="仿宋" w:eastAsia="仿宋_GB2312"/>
          <w:sz w:val="32"/>
          <w:szCs w:val="32"/>
          <w:lang w:eastAsia="zh-CN"/>
        </w:rPr>
      </w:pPr>
      <w:r>
        <w:rPr>
          <w:rFonts w:hint="eastAsia" w:ascii="楷体_GB2312" w:hAnsi="楷体_GB2312" w:eastAsia="楷体_GB2312" w:cs="楷体_GB2312"/>
          <w:snapToGrid w:val="0"/>
          <w:w w:val="95"/>
          <w:kern w:val="2"/>
          <w:sz w:val="32"/>
          <w:szCs w:val="32"/>
          <w:highlight w:val="none"/>
          <w:lang w:val="en-US" w:eastAsia="zh-CN"/>
        </w:rPr>
        <w:t>2.公务用车购置及运行费。</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年预算数</w:t>
      </w:r>
      <w:r>
        <w:rPr>
          <w:rFonts w:hint="eastAsia" w:ascii="仿宋_GB2312" w:hAnsi="仿宋" w:eastAsia="仿宋_GB2312"/>
          <w:sz w:val="32"/>
          <w:szCs w:val="32"/>
          <w:lang w:val="en-US" w:eastAsia="zh-CN"/>
        </w:rPr>
        <w:t>1.92</w:t>
      </w:r>
      <w:r>
        <w:rPr>
          <w:rFonts w:hint="eastAsia" w:ascii="仿宋_GB2312" w:hAnsi="仿宋" w:eastAsia="仿宋_GB2312"/>
          <w:sz w:val="32"/>
          <w:szCs w:val="32"/>
          <w:lang w:eastAsia="zh-CN"/>
        </w:rPr>
        <w:t>万元。其中：</w:t>
      </w:r>
    </w:p>
    <w:p>
      <w:pPr>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（1）公务用车购置费。202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年公务用车购置费预算数为</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万元（公务用车购置严格按照我县车辆管理及厉行节约有关要求实行总额控制），与202</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年预算数持平。</w:t>
      </w:r>
    </w:p>
    <w:p>
      <w:pPr>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（2）公务用车运行费。202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年预算数</w:t>
      </w:r>
      <w:r>
        <w:rPr>
          <w:rFonts w:hint="eastAsia" w:ascii="仿宋_GB2312" w:hAnsi="仿宋" w:eastAsia="仿宋_GB2312"/>
          <w:sz w:val="32"/>
          <w:szCs w:val="32"/>
          <w:lang w:val="en-US" w:eastAsia="zh-CN"/>
        </w:rPr>
        <w:t>1.92</w:t>
      </w:r>
      <w:r>
        <w:rPr>
          <w:rFonts w:hint="eastAsia" w:ascii="仿宋_GB2312" w:hAnsi="仿宋" w:eastAsia="仿宋_GB2312"/>
          <w:sz w:val="32"/>
          <w:szCs w:val="32"/>
          <w:lang w:eastAsia="zh-CN"/>
        </w:rPr>
        <w:t>万元。较202</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年降低</w:t>
      </w:r>
      <w:r>
        <w:rPr>
          <w:rFonts w:hint="eastAsia" w:ascii="仿宋_GB2312" w:hAnsi="仿宋" w:eastAsia="仿宋_GB2312"/>
          <w:sz w:val="32"/>
          <w:szCs w:val="32"/>
          <w:lang w:val="en-US" w:eastAsia="zh-CN"/>
        </w:rPr>
        <w:t>11.11</w:t>
      </w:r>
      <w:r>
        <w:rPr>
          <w:rFonts w:hint="eastAsia" w:ascii="仿宋_GB2312" w:hAnsi="仿宋" w:eastAsia="仿宋_GB2312"/>
          <w:sz w:val="32"/>
          <w:szCs w:val="32"/>
          <w:lang w:eastAsia="zh-CN"/>
        </w:rPr>
        <w:t>%，主要原因我单位严格控制不必要的公务用车出行。单位公务用车实有量0辆，保有量0辆。</w:t>
      </w:r>
    </w:p>
    <w:p>
      <w:pPr>
        <w:ind w:firstLine="640" w:firstLineChars="200"/>
        <w:jc w:val="both"/>
        <w:rPr>
          <w:rFonts w:hint="eastAsia" w:ascii="仿宋_GB2312" w:hAnsi="仿宋" w:eastAsia="仿宋_GB2312"/>
          <w:sz w:val="32"/>
          <w:szCs w:val="32"/>
          <w:lang w:eastAsia="zh-CN"/>
        </w:rPr>
      </w:pPr>
      <w:r>
        <w:rPr>
          <w:rFonts w:hint="eastAsia" w:ascii="仿宋_GB2312" w:hAnsi="仿宋" w:eastAsia="仿宋_GB2312"/>
          <w:sz w:val="32"/>
          <w:szCs w:val="32"/>
          <w:lang w:eastAsia="zh-CN"/>
        </w:rPr>
        <w:t>3</w:t>
      </w:r>
      <w:r>
        <w:rPr>
          <w:rFonts w:hint="eastAsia" w:ascii="楷体_GB2312" w:hAnsi="楷体_GB2312" w:eastAsia="楷体_GB2312" w:cs="楷体_GB2312"/>
          <w:snapToGrid w:val="0"/>
          <w:w w:val="95"/>
          <w:kern w:val="2"/>
          <w:sz w:val="32"/>
          <w:szCs w:val="32"/>
          <w:highlight w:val="none"/>
          <w:lang w:val="en-US" w:eastAsia="zh-CN"/>
        </w:rPr>
        <w:t>.公务接待费。</w:t>
      </w:r>
      <w:r>
        <w:rPr>
          <w:rFonts w:hint="eastAsia" w:ascii="仿宋_GB2312" w:hAnsi="仿宋" w:eastAsia="仿宋_GB2312"/>
          <w:sz w:val="32"/>
          <w:szCs w:val="32"/>
          <w:lang w:eastAsia="zh-CN"/>
        </w:rPr>
        <w:t>202</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年预算数</w:t>
      </w:r>
      <w:r>
        <w:rPr>
          <w:rFonts w:hint="eastAsia" w:ascii="仿宋_GB2312" w:hAnsi="仿宋" w:eastAsia="仿宋_GB2312"/>
          <w:sz w:val="32"/>
          <w:szCs w:val="32"/>
          <w:lang w:val="en-US" w:eastAsia="zh-CN"/>
        </w:rPr>
        <w:t>1.36</w:t>
      </w:r>
      <w:r>
        <w:rPr>
          <w:rFonts w:hint="eastAsia" w:ascii="仿宋_GB2312" w:hAnsi="仿宋" w:eastAsia="仿宋_GB2312"/>
          <w:sz w:val="32"/>
          <w:szCs w:val="32"/>
          <w:lang w:eastAsia="zh-CN"/>
        </w:rPr>
        <w:t>万元。较202</w:t>
      </w:r>
      <w:r>
        <w:rPr>
          <w:rFonts w:hint="eastAsia" w:ascii="仿宋_GB2312" w:hAnsi="仿宋" w:eastAsia="仿宋_GB2312"/>
          <w:sz w:val="32"/>
          <w:szCs w:val="32"/>
          <w:lang w:val="en-US" w:eastAsia="zh-CN"/>
        </w:rPr>
        <w:t>0</w:t>
      </w:r>
      <w:r>
        <w:rPr>
          <w:rFonts w:hint="eastAsia" w:ascii="仿宋_GB2312" w:hAnsi="仿宋" w:eastAsia="仿宋_GB2312"/>
          <w:sz w:val="32"/>
          <w:szCs w:val="32"/>
          <w:lang w:eastAsia="zh-CN"/>
        </w:rPr>
        <w:t>年度预算减少</w:t>
      </w:r>
      <w:r>
        <w:rPr>
          <w:rFonts w:hint="eastAsia" w:ascii="仿宋_GB2312" w:hAnsi="仿宋" w:eastAsia="仿宋_GB2312"/>
          <w:sz w:val="32"/>
          <w:szCs w:val="32"/>
          <w:lang w:val="en-US" w:eastAsia="zh-CN"/>
        </w:rPr>
        <w:t>0.17</w:t>
      </w:r>
      <w:r>
        <w:rPr>
          <w:rFonts w:hint="eastAsia" w:ascii="仿宋_GB2312" w:hAnsi="仿宋" w:eastAsia="仿宋_GB2312"/>
          <w:sz w:val="32"/>
          <w:szCs w:val="32"/>
          <w:lang w:eastAsia="zh-CN"/>
        </w:rPr>
        <w:t>万元，降低</w:t>
      </w:r>
      <w:r>
        <w:rPr>
          <w:rFonts w:hint="eastAsia" w:ascii="仿宋_GB2312" w:hAnsi="仿宋" w:eastAsia="仿宋_GB2312"/>
          <w:sz w:val="32"/>
          <w:szCs w:val="32"/>
          <w:lang w:val="en-US" w:eastAsia="zh-CN"/>
        </w:rPr>
        <w:t>11.11</w:t>
      </w:r>
      <w:r>
        <w:rPr>
          <w:rFonts w:hint="eastAsia" w:ascii="仿宋_GB2312" w:hAnsi="仿宋" w:eastAsia="仿宋_GB2312"/>
          <w:sz w:val="32"/>
          <w:szCs w:val="32"/>
          <w:lang w:eastAsia="zh-CN"/>
        </w:rPr>
        <w:t>%。原因是我部门将按照公务接待相关要求，厉行勤俭节约严格控制不必要的公务接待费支出。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八、2021年度政府性基金预算支出情况说明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2021年政府性基金预算当年拨款0万元,与2020年执行数持平，我部门2021年度没有使用政府性基金安排的支出。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2021年部门县级察隅县人大办1家行政单位的机关运行经费财政拨款预算3.28万元，比2020年预算增加1.75万元，增长114.38%，主要原因是本单位今年人员有变动导致预算增加。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（二）政府采购情况说明。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2021年本部门及所属各预算单位政府采购预算总额万元，其中：政府采购货物预算0万元、政府采购工程预算0万元、政府采购服务预算0万元。</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截至2021年12月底，本部门及所属各预算单位共有车辆0辆。其中，级领导干部用车（含在职和离退休部级干部用车）0辆、机要通信用车0辆、应急保障用车0辆、执法执勤用车0辆、特种专业技术用车0辆、其他用车0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（四）2021年预算绩效目标管理情况。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2021年实现财政支出绩效目标管理全覆盖，实行绩效目标管理0个，资金0万元，其中：中央转移支付资金0万元，地方资金0万元。重点项目实行绩效目标管理0个。</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（五）扶贫资金管理使用情况及绩效目标情况说明。</w:t>
      </w:r>
    </w:p>
    <w:p>
      <w:pPr>
        <w:tabs>
          <w:tab w:val="left" w:pos="1399"/>
        </w:tabs>
        <w:rPr>
          <w:rFonts w:ascii="楷体" w:hAnsi="楷体" w:eastAsia="楷体"/>
          <w:sz w:val="32"/>
          <w:szCs w:val="32"/>
        </w:rPr>
      </w:pPr>
      <w:r>
        <w:rPr>
          <w:rFonts w:ascii="楷体" w:hAnsi="楷体" w:eastAsia="楷体"/>
          <w:sz w:val="32"/>
          <w:szCs w:val="32"/>
        </w:rPr>
        <w:tab/>
      </w:r>
      <w:r>
        <w:rPr>
          <w:rFonts w:hint="eastAsia" w:ascii="楷体" w:hAnsi="楷体" w:eastAsia="楷体"/>
          <w:sz w:val="32"/>
          <w:szCs w:val="32"/>
        </w:rPr>
        <w:t>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rPr>
          <w:rFonts w:hint="eastAsia" w:ascii="楷体" w:hAnsi="楷体" w:eastAsia="楷体"/>
          <w:sz w:val="32"/>
          <w:szCs w:val="32"/>
        </w:rPr>
      </w:pPr>
      <w:r>
        <w:rPr>
          <w:rFonts w:hint="eastAsia" w:ascii="楷体" w:hAnsi="楷体" w:eastAsia="楷体"/>
          <w:sz w:val="32"/>
          <w:szCs w:val="32"/>
        </w:rPr>
        <w:t>（六）政府债务情况。</w:t>
      </w:r>
    </w:p>
    <w:p>
      <w:pPr>
        <w:tabs>
          <w:tab w:val="left" w:pos="1399"/>
        </w:tabs>
        <w:rPr>
          <w:rFonts w:ascii="楷体" w:hAnsi="楷体" w:eastAsia="楷体"/>
          <w:sz w:val="32"/>
          <w:szCs w:val="32"/>
        </w:rPr>
      </w:pPr>
      <w:r>
        <w:rPr>
          <w:rFonts w:ascii="仿宋" w:hAnsi="仿宋" w:eastAsia="仿宋"/>
          <w:sz w:val="32"/>
          <w:szCs w:val="32"/>
        </w:rPr>
        <w:tab/>
      </w:r>
      <w:r>
        <w:rPr>
          <w:rFonts w:hint="eastAsia" w:ascii="楷体" w:hAnsi="楷体" w:eastAsia="楷体"/>
          <w:sz w:val="32"/>
          <w:szCs w:val="32"/>
        </w:rPr>
        <w:t>无</w:t>
      </w:r>
    </w:p>
    <w:p>
      <w:pPr>
        <w:tabs>
          <w:tab w:val="left" w:pos="1481"/>
        </w:tabs>
        <w:rPr>
          <w:rFonts w:ascii="仿宋" w:hAnsi="仿宋" w:eastAsia="仿宋"/>
          <w:sz w:val="32"/>
          <w:szCs w:val="32"/>
        </w:rPr>
      </w:pPr>
    </w:p>
    <w:p>
      <w:pPr>
        <w:spacing w:line="560" w:lineRule="exact"/>
        <w:rPr>
          <w:rFonts w:ascii="黑体" w:hAnsi="黑体" w:eastAsia="黑体"/>
          <w:b/>
          <w:snapToGrid w:val="0"/>
          <w:w w:val="95"/>
          <w:sz w:val="44"/>
          <w:szCs w:val="44"/>
        </w:rPr>
      </w:pPr>
    </w:p>
    <w:p>
      <w:pPr>
        <w:spacing w:line="560" w:lineRule="exact"/>
        <w:jc w:val="both"/>
        <w:rPr>
          <w:rFonts w:ascii="黑体" w:hAnsi="黑体" w:eastAsia="黑体"/>
          <w:b/>
          <w:snapToGrid w:val="0"/>
          <w:w w:val="95"/>
          <w:sz w:val="44"/>
          <w:szCs w:val="44"/>
        </w:rPr>
      </w:pPr>
    </w:p>
    <w:p>
      <w:pP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br w:type="page"/>
      </w:r>
    </w:p>
    <w:p>
      <w:pPr>
        <w:spacing w:line="560" w:lineRule="exact"/>
        <w:jc w:val="center"/>
        <w:rPr>
          <w:rFonts w:hint="eastAsia"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第四部分 名词解释</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财政拨款收入：</w:t>
      </w:r>
      <w:r>
        <w:rPr>
          <w:rFonts w:hint="eastAsia" w:ascii="仿宋_GB2312" w:hAnsi="黑体" w:eastAsia="仿宋_GB2312"/>
          <w:snapToGrid w:val="0"/>
          <w:w w:val="95"/>
          <w:sz w:val="32"/>
          <w:szCs w:val="32"/>
          <w:lang w:val="en-US" w:eastAsia="zh-CN"/>
        </w:rPr>
        <w:t>指自治区财政当年拨付的资金。</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行政运行：</w:t>
      </w:r>
      <w:r>
        <w:rPr>
          <w:rFonts w:hint="eastAsia" w:ascii="仿宋_GB2312" w:hAnsi="黑体" w:eastAsia="仿宋_GB2312"/>
          <w:snapToGrid w:val="0"/>
          <w:w w:val="95"/>
          <w:sz w:val="32"/>
          <w:szCs w:val="32"/>
          <w:lang w:val="en-US" w:eastAsia="zh-CN"/>
        </w:rPr>
        <w:t>反映行政单位（包括实行公务员管理的事业单位）的基本支出。</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其他人大事务支出：</w:t>
      </w:r>
      <w:r>
        <w:rPr>
          <w:rFonts w:hint="eastAsia" w:ascii="仿宋_GB2312" w:hAnsi="黑体" w:eastAsia="仿宋_GB2312"/>
          <w:snapToGrid w:val="0"/>
          <w:w w:val="95"/>
          <w:sz w:val="32"/>
          <w:szCs w:val="32"/>
          <w:lang w:val="en-US" w:eastAsia="zh-CN"/>
        </w:rPr>
        <w:t>反映除上述项目以外其他人大事务支出。</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财政拨款：</w:t>
      </w:r>
      <w:r>
        <w:rPr>
          <w:rFonts w:hint="eastAsia" w:ascii="仿宋_GB2312" w:hAnsi="黑体" w:eastAsia="仿宋_GB2312"/>
          <w:snapToGrid w:val="0"/>
          <w:w w:val="95"/>
          <w:sz w:val="32"/>
          <w:szCs w:val="32"/>
          <w:lang w:val="en-US" w:eastAsia="zh-CN"/>
        </w:rPr>
        <w:t>是指县级财政当年拨付的资金。</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一般公共服务支出（类）群众团体事务（款）行政运行（项）:</w:t>
      </w:r>
      <w:r>
        <w:rPr>
          <w:rFonts w:hint="eastAsia" w:ascii="仿宋_GB2312" w:hAnsi="黑体" w:eastAsia="仿宋_GB2312"/>
          <w:snapToGrid w:val="0"/>
          <w:w w:val="95"/>
          <w:sz w:val="32"/>
          <w:szCs w:val="32"/>
          <w:lang w:val="en-US" w:eastAsia="zh-CN"/>
        </w:rPr>
        <w:t>指机关正常运行经费；</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一般公共服务支出（类）群众团体事务（款）其他群众团体事务支出（项）：</w:t>
      </w:r>
      <w:r>
        <w:rPr>
          <w:rFonts w:hint="eastAsia" w:ascii="仿宋_GB2312" w:hAnsi="黑体" w:eastAsia="仿宋_GB2312"/>
          <w:snapToGrid w:val="0"/>
          <w:w w:val="95"/>
          <w:sz w:val="32"/>
          <w:szCs w:val="32"/>
          <w:lang w:val="en-US" w:eastAsia="zh-CN"/>
        </w:rPr>
        <w:t>用于保障基层团组织正常运转经费。　　</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基本支出：</w:t>
      </w:r>
      <w:r>
        <w:rPr>
          <w:rFonts w:hint="eastAsia" w:ascii="仿宋_GB2312" w:hAnsi="黑体" w:eastAsia="仿宋_GB2312"/>
          <w:snapToGrid w:val="0"/>
          <w:w w:val="95"/>
          <w:sz w:val="32"/>
          <w:szCs w:val="32"/>
          <w:lang w:val="en-US" w:eastAsia="zh-CN"/>
        </w:rPr>
        <w:t>指部门为保障其机构正常运转、完成日常工作任务而编制的年度基本支出计划，包括人员经费和公用经费两部分。</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rFonts w:hint="eastAsia" w:ascii="仿宋_GB2312" w:hAnsi="黑体" w:eastAsia="仿宋_GB2312"/>
          <w:snapToGrid w:val="0"/>
          <w:w w:val="95"/>
          <w:sz w:val="32"/>
          <w:szCs w:val="32"/>
          <w:lang w:val="en-US" w:eastAsia="zh-CN"/>
        </w:rPr>
      </w:pPr>
      <w:r>
        <w:rPr>
          <w:rFonts w:hint="eastAsia" w:ascii="仿宋_GB2312" w:hAnsi="黑体" w:eastAsia="仿宋_GB2312"/>
          <w:b/>
          <w:bCs/>
          <w:snapToGrid w:val="0"/>
          <w:w w:val="95"/>
          <w:sz w:val="32"/>
          <w:szCs w:val="32"/>
          <w:lang w:val="en-US" w:eastAsia="zh-CN"/>
        </w:rPr>
        <w:t>项目支出：</w:t>
      </w:r>
      <w:r>
        <w:rPr>
          <w:rFonts w:hint="eastAsia" w:ascii="仿宋_GB2312" w:hAnsi="黑体" w:eastAsia="仿宋_GB2312"/>
          <w:snapToGrid w:val="0"/>
          <w:w w:val="95"/>
          <w:sz w:val="32"/>
          <w:szCs w:val="32"/>
          <w:lang w:val="en-US" w:eastAsia="zh-CN"/>
        </w:rPr>
        <w:t>指部门为完成其特定的行政工作任务或事业发展目标，在基本支出预算之外编制的年度项目支出计划。</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sz w:val="84"/>
          <w:szCs w:val="84"/>
        </w:rPr>
      </w:pPr>
      <w:r>
        <w:rPr>
          <w:rFonts w:hint="eastAsia" w:ascii="仿宋_GB2312" w:hAnsi="黑体" w:eastAsia="仿宋_GB2312"/>
          <w:b/>
          <w:bCs/>
          <w:snapToGrid w:val="0"/>
          <w:w w:val="95"/>
          <w:sz w:val="32"/>
          <w:szCs w:val="32"/>
          <w:lang w:val="en-US" w:eastAsia="zh-CN"/>
        </w:rPr>
        <w:t>“三公”经费：</w:t>
      </w:r>
      <w:r>
        <w:rPr>
          <w:rFonts w:hint="eastAsia" w:ascii="仿宋_GB2312" w:hAnsi="黑体" w:eastAsia="仿宋_GB2312"/>
          <w:snapToGrid w:val="0"/>
          <w:w w:val="95"/>
          <w:sz w:val="32"/>
          <w:szCs w:val="32"/>
          <w:lang w:val="en-US" w:eastAsia="zh-CN"/>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keepNext w:val="0"/>
        <w:keepLines w:val="0"/>
        <w:pageBreakBefore w:val="0"/>
        <w:widowControl/>
        <w:numPr>
          <w:ilvl w:val="0"/>
          <w:numId w:val="2"/>
        </w:numPr>
        <w:kinsoku/>
        <w:wordWrap/>
        <w:overflowPunct/>
        <w:topLinePunct w:val="0"/>
        <w:autoSpaceDE/>
        <w:autoSpaceDN/>
        <w:bidi w:val="0"/>
        <w:adjustRightInd w:val="0"/>
        <w:snapToGrid w:val="0"/>
        <w:spacing w:after="0" w:line="560" w:lineRule="exact"/>
        <w:ind w:left="0" w:leftChars="0" w:firstLine="611" w:firstLineChars="200"/>
        <w:jc w:val="both"/>
        <w:textAlignment w:val="auto"/>
        <w:rPr>
          <w:sz w:val="84"/>
          <w:szCs w:val="84"/>
        </w:rPr>
      </w:pPr>
      <w:r>
        <w:rPr>
          <w:rFonts w:hint="eastAsia" w:ascii="仿宋_GB2312" w:hAnsi="黑体" w:eastAsia="仿宋_GB2312"/>
          <w:b/>
          <w:bCs/>
          <w:snapToGrid w:val="0"/>
          <w:w w:val="95"/>
          <w:sz w:val="32"/>
          <w:szCs w:val="32"/>
          <w:lang w:val="en-US" w:eastAsia="zh-CN"/>
        </w:rPr>
        <w:t>一般行政管理事务：</w:t>
      </w:r>
      <w:r>
        <w:rPr>
          <w:rFonts w:hint="eastAsia" w:ascii="仿宋_GB2312" w:hAnsi="黑体" w:eastAsia="仿宋_GB2312"/>
          <w:snapToGrid w:val="0"/>
          <w:w w:val="95"/>
          <w:sz w:val="32"/>
          <w:szCs w:val="32"/>
          <w:lang w:val="en-US" w:eastAsia="zh-CN"/>
        </w:rPr>
        <w:t>反映行政单位（包括实行公务员管理的事业单位）未单独设置项级科目的其他项目支出。</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24BD8"/>
    <w:multiLevelType w:val="singleLevel"/>
    <w:tmpl w:val="02924BD8"/>
    <w:lvl w:ilvl="0" w:tentative="0">
      <w:start w:val="1"/>
      <w:numFmt w:val="chineseCounting"/>
      <w:suff w:val="nothing"/>
      <w:lvlText w:val="%1、"/>
      <w:lvlJc w:val="left"/>
      <w:pPr>
        <w:ind w:left="0" w:firstLine="420"/>
      </w:pPr>
      <w:rPr>
        <w:rFonts w:hint="eastAsia"/>
        <w:b/>
        <w:bCs/>
        <w:sz w:val="32"/>
        <w:szCs w:val="32"/>
      </w:rPr>
    </w:lvl>
  </w:abstractNum>
  <w:abstractNum w:abstractNumId="1">
    <w:nsid w:val="573546F8"/>
    <w:multiLevelType w:val="singleLevel"/>
    <w:tmpl w:val="573546F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ZmYzMmJjMmE1ZGIyYTAyMmQ3ZmM1ODgwYjY5YTdkMjcifQ=="/>
  </w:docVars>
  <w:rsids>
    <w:rsidRoot w:val="00D31D50"/>
    <w:rsid w:val="000068A0"/>
    <w:rsid w:val="000131C8"/>
    <w:rsid w:val="000205B6"/>
    <w:rsid w:val="00043B76"/>
    <w:rsid w:val="000506F1"/>
    <w:rsid w:val="00065AC2"/>
    <w:rsid w:val="00094F3E"/>
    <w:rsid w:val="000B08E5"/>
    <w:rsid w:val="000C4FC1"/>
    <w:rsid w:val="000D684C"/>
    <w:rsid w:val="000E24EC"/>
    <w:rsid w:val="000F02CE"/>
    <w:rsid w:val="001130C8"/>
    <w:rsid w:val="00121B3A"/>
    <w:rsid w:val="00135D9C"/>
    <w:rsid w:val="001468A9"/>
    <w:rsid w:val="00153334"/>
    <w:rsid w:val="00155D65"/>
    <w:rsid w:val="00170AE9"/>
    <w:rsid w:val="0017591A"/>
    <w:rsid w:val="001834FB"/>
    <w:rsid w:val="0018775C"/>
    <w:rsid w:val="0019029C"/>
    <w:rsid w:val="00194943"/>
    <w:rsid w:val="001A70AC"/>
    <w:rsid w:val="001A75E6"/>
    <w:rsid w:val="001B3308"/>
    <w:rsid w:val="001B7DD1"/>
    <w:rsid w:val="001D2123"/>
    <w:rsid w:val="001D3C35"/>
    <w:rsid w:val="001D7A44"/>
    <w:rsid w:val="001E1206"/>
    <w:rsid w:val="001E5C57"/>
    <w:rsid w:val="001F7ABE"/>
    <w:rsid w:val="00212481"/>
    <w:rsid w:val="00212D09"/>
    <w:rsid w:val="00217E49"/>
    <w:rsid w:val="00221544"/>
    <w:rsid w:val="00222275"/>
    <w:rsid w:val="00230DD0"/>
    <w:rsid w:val="00232036"/>
    <w:rsid w:val="0025255C"/>
    <w:rsid w:val="0026112B"/>
    <w:rsid w:val="00265B6C"/>
    <w:rsid w:val="00283120"/>
    <w:rsid w:val="002A55F6"/>
    <w:rsid w:val="002B3D37"/>
    <w:rsid w:val="002B7970"/>
    <w:rsid w:val="002D2DC7"/>
    <w:rsid w:val="002E1A51"/>
    <w:rsid w:val="002E506B"/>
    <w:rsid w:val="002F4101"/>
    <w:rsid w:val="00306918"/>
    <w:rsid w:val="003104C5"/>
    <w:rsid w:val="00317063"/>
    <w:rsid w:val="00323B43"/>
    <w:rsid w:val="003431FF"/>
    <w:rsid w:val="00352A47"/>
    <w:rsid w:val="003601CD"/>
    <w:rsid w:val="0038379C"/>
    <w:rsid w:val="00395909"/>
    <w:rsid w:val="003B5AE7"/>
    <w:rsid w:val="003D37D8"/>
    <w:rsid w:val="003D3D01"/>
    <w:rsid w:val="003D422F"/>
    <w:rsid w:val="003F6AD7"/>
    <w:rsid w:val="004058CC"/>
    <w:rsid w:val="004237CC"/>
    <w:rsid w:val="00426133"/>
    <w:rsid w:val="0042770D"/>
    <w:rsid w:val="00432BA4"/>
    <w:rsid w:val="004358AB"/>
    <w:rsid w:val="00441295"/>
    <w:rsid w:val="00460611"/>
    <w:rsid w:val="0046244B"/>
    <w:rsid w:val="00487080"/>
    <w:rsid w:val="0049496C"/>
    <w:rsid w:val="0049525C"/>
    <w:rsid w:val="00495932"/>
    <w:rsid w:val="004A2C77"/>
    <w:rsid w:val="004B794E"/>
    <w:rsid w:val="004C35E0"/>
    <w:rsid w:val="004C3E48"/>
    <w:rsid w:val="004C4E14"/>
    <w:rsid w:val="004D69F7"/>
    <w:rsid w:val="00504015"/>
    <w:rsid w:val="00521C17"/>
    <w:rsid w:val="00530EE9"/>
    <w:rsid w:val="00582C6C"/>
    <w:rsid w:val="00587AC9"/>
    <w:rsid w:val="00590A3C"/>
    <w:rsid w:val="00596433"/>
    <w:rsid w:val="005B1A7D"/>
    <w:rsid w:val="005B1D80"/>
    <w:rsid w:val="005B2CAE"/>
    <w:rsid w:val="005B4BD7"/>
    <w:rsid w:val="005D69C8"/>
    <w:rsid w:val="005F10DE"/>
    <w:rsid w:val="00622E39"/>
    <w:rsid w:val="0062627F"/>
    <w:rsid w:val="006378C1"/>
    <w:rsid w:val="00637A70"/>
    <w:rsid w:val="0064767A"/>
    <w:rsid w:val="00651610"/>
    <w:rsid w:val="00652C2E"/>
    <w:rsid w:val="0065762C"/>
    <w:rsid w:val="006761A8"/>
    <w:rsid w:val="0068356A"/>
    <w:rsid w:val="006836BE"/>
    <w:rsid w:val="00693F90"/>
    <w:rsid w:val="006B1773"/>
    <w:rsid w:val="006B5F1C"/>
    <w:rsid w:val="006D1614"/>
    <w:rsid w:val="006E49C0"/>
    <w:rsid w:val="0070063A"/>
    <w:rsid w:val="00710F52"/>
    <w:rsid w:val="0071382E"/>
    <w:rsid w:val="007400C8"/>
    <w:rsid w:val="007442FD"/>
    <w:rsid w:val="00761050"/>
    <w:rsid w:val="00761184"/>
    <w:rsid w:val="007848AB"/>
    <w:rsid w:val="0079768E"/>
    <w:rsid w:val="007A581C"/>
    <w:rsid w:val="007F0E6B"/>
    <w:rsid w:val="007F3C88"/>
    <w:rsid w:val="008000EE"/>
    <w:rsid w:val="00816270"/>
    <w:rsid w:val="00852050"/>
    <w:rsid w:val="0088342B"/>
    <w:rsid w:val="008A3245"/>
    <w:rsid w:val="008A4248"/>
    <w:rsid w:val="008A4728"/>
    <w:rsid w:val="008B4067"/>
    <w:rsid w:val="008B7726"/>
    <w:rsid w:val="008C7ECD"/>
    <w:rsid w:val="008D1D05"/>
    <w:rsid w:val="00912DD0"/>
    <w:rsid w:val="009309D0"/>
    <w:rsid w:val="00940BE5"/>
    <w:rsid w:val="0095017D"/>
    <w:rsid w:val="0096343B"/>
    <w:rsid w:val="009B58F6"/>
    <w:rsid w:val="009C1E95"/>
    <w:rsid w:val="009D2FE1"/>
    <w:rsid w:val="009D379B"/>
    <w:rsid w:val="009E2D20"/>
    <w:rsid w:val="00A02B2D"/>
    <w:rsid w:val="00A0343F"/>
    <w:rsid w:val="00A06BD4"/>
    <w:rsid w:val="00A201BF"/>
    <w:rsid w:val="00A25DF5"/>
    <w:rsid w:val="00A34078"/>
    <w:rsid w:val="00A53E73"/>
    <w:rsid w:val="00A729A7"/>
    <w:rsid w:val="00A80816"/>
    <w:rsid w:val="00A953D2"/>
    <w:rsid w:val="00AC23D3"/>
    <w:rsid w:val="00AD10B3"/>
    <w:rsid w:val="00B63635"/>
    <w:rsid w:val="00B7473C"/>
    <w:rsid w:val="00B75BFC"/>
    <w:rsid w:val="00B93CE5"/>
    <w:rsid w:val="00B95D6E"/>
    <w:rsid w:val="00B96172"/>
    <w:rsid w:val="00BA7DC2"/>
    <w:rsid w:val="00BE44E4"/>
    <w:rsid w:val="00BF0EB4"/>
    <w:rsid w:val="00BF1BD3"/>
    <w:rsid w:val="00C02967"/>
    <w:rsid w:val="00C11F5B"/>
    <w:rsid w:val="00C13A1F"/>
    <w:rsid w:val="00C25C61"/>
    <w:rsid w:val="00C448C2"/>
    <w:rsid w:val="00C5220F"/>
    <w:rsid w:val="00C70CB5"/>
    <w:rsid w:val="00C81CAB"/>
    <w:rsid w:val="00C909E2"/>
    <w:rsid w:val="00C91B79"/>
    <w:rsid w:val="00C9253E"/>
    <w:rsid w:val="00CC10CA"/>
    <w:rsid w:val="00CD3051"/>
    <w:rsid w:val="00CD62BB"/>
    <w:rsid w:val="00CE31FA"/>
    <w:rsid w:val="00CF21E2"/>
    <w:rsid w:val="00CF42AF"/>
    <w:rsid w:val="00CF7606"/>
    <w:rsid w:val="00D21895"/>
    <w:rsid w:val="00D31D50"/>
    <w:rsid w:val="00D34960"/>
    <w:rsid w:val="00D464FE"/>
    <w:rsid w:val="00D607EC"/>
    <w:rsid w:val="00D87DDA"/>
    <w:rsid w:val="00D97CB3"/>
    <w:rsid w:val="00DA7B43"/>
    <w:rsid w:val="00DA7F4C"/>
    <w:rsid w:val="00DB4D5A"/>
    <w:rsid w:val="00DB6D32"/>
    <w:rsid w:val="00DC5CD6"/>
    <w:rsid w:val="00DF1715"/>
    <w:rsid w:val="00DF43DA"/>
    <w:rsid w:val="00E002E7"/>
    <w:rsid w:val="00E0533C"/>
    <w:rsid w:val="00E34305"/>
    <w:rsid w:val="00E57825"/>
    <w:rsid w:val="00E83A7C"/>
    <w:rsid w:val="00E92477"/>
    <w:rsid w:val="00E93D3B"/>
    <w:rsid w:val="00EA1231"/>
    <w:rsid w:val="00EA6CAC"/>
    <w:rsid w:val="00EB06C8"/>
    <w:rsid w:val="00EB2EEC"/>
    <w:rsid w:val="00EB6AAB"/>
    <w:rsid w:val="00EC5683"/>
    <w:rsid w:val="00EF7025"/>
    <w:rsid w:val="00F00D13"/>
    <w:rsid w:val="00F146F5"/>
    <w:rsid w:val="00F22C97"/>
    <w:rsid w:val="00F31A7F"/>
    <w:rsid w:val="00F356D4"/>
    <w:rsid w:val="00F56AC7"/>
    <w:rsid w:val="00F57CAD"/>
    <w:rsid w:val="00F607D9"/>
    <w:rsid w:val="00F612AE"/>
    <w:rsid w:val="00F85106"/>
    <w:rsid w:val="00FC1081"/>
    <w:rsid w:val="00FC5BEC"/>
    <w:rsid w:val="00FE49E1"/>
    <w:rsid w:val="00FF0B52"/>
    <w:rsid w:val="00FF5D20"/>
    <w:rsid w:val="00FF60EC"/>
    <w:rsid w:val="04430C71"/>
    <w:rsid w:val="0ABC0369"/>
    <w:rsid w:val="0EFC6FD1"/>
    <w:rsid w:val="163D6162"/>
    <w:rsid w:val="189C1891"/>
    <w:rsid w:val="1C9C618E"/>
    <w:rsid w:val="25F718C4"/>
    <w:rsid w:val="262C31F3"/>
    <w:rsid w:val="34557741"/>
    <w:rsid w:val="356B28DD"/>
    <w:rsid w:val="38005D93"/>
    <w:rsid w:val="3BA758B6"/>
    <w:rsid w:val="3BB85381"/>
    <w:rsid w:val="3C8E5881"/>
    <w:rsid w:val="481D46E1"/>
    <w:rsid w:val="4EDF28C1"/>
    <w:rsid w:val="4F1374CD"/>
    <w:rsid w:val="5A094AC0"/>
    <w:rsid w:val="5D416569"/>
    <w:rsid w:val="6B737AB1"/>
    <w:rsid w:val="6F2F3A78"/>
    <w:rsid w:val="77D26D2E"/>
    <w:rsid w:val="7A804D74"/>
    <w:rsid w:val="7B897B3A"/>
    <w:rsid w:val="7D6F6BB8"/>
    <w:rsid w:val="7DB83D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styleId="7">
    <w:name w:val="page number"/>
    <w:basedOn w:val="6"/>
    <w:qFormat/>
    <w:uiPriority w:val="0"/>
  </w:style>
  <w:style w:type="character" w:customStyle="1" w:styleId="8">
    <w:name w:val="页眉 Char"/>
    <w:basedOn w:val="6"/>
    <w:link w:val="3"/>
    <w:semiHidden/>
    <w:qFormat/>
    <w:uiPriority w:val="99"/>
    <w:rPr>
      <w:rFonts w:ascii="Tahoma" w:hAnsi="Tahoma"/>
      <w:sz w:val="18"/>
      <w:szCs w:val="18"/>
    </w:rPr>
  </w:style>
  <w:style w:type="character" w:customStyle="1" w:styleId="9">
    <w:name w:val="页脚 Char"/>
    <w:basedOn w:val="6"/>
    <w:link w:val="2"/>
    <w:semiHidden/>
    <w:qFormat/>
    <w:uiPriority w:val="99"/>
    <w:rPr>
      <w:rFonts w:ascii="Tahoma" w:hAnsi="Tahoma"/>
      <w:sz w:val="18"/>
      <w:szCs w:val="18"/>
    </w:rPr>
  </w:style>
  <w:style w:type="paragraph" w:styleId="10">
    <w:name w:val="List Paragraph"/>
    <w:basedOn w:val="1"/>
    <w:qFormat/>
    <w:uiPriority w:val="34"/>
    <w:pPr>
      <w:ind w:firstLine="420" w:firstLineChars="200"/>
    </w:pPr>
  </w:style>
  <w:style w:type="paragraph" w:customStyle="1" w:styleId="11">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4538AC-0629-4F6A-B614-DA27956CAA39}">
  <ds:schemaRefs/>
</ds:datastoreItem>
</file>

<file path=docProps/app.xml><?xml version="1.0" encoding="utf-8"?>
<Properties xmlns="http://schemas.openxmlformats.org/officeDocument/2006/extended-properties" xmlns:vt="http://schemas.openxmlformats.org/officeDocument/2006/docPropsVTypes">
  <Template>Normal</Template>
  <Pages>11</Pages>
  <Words>3296</Words>
  <Characters>3608</Characters>
  <Lines>26</Lines>
  <Paragraphs>7</Paragraphs>
  <TotalTime>22</TotalTime>
  <ScaleCrop>false</ScaleCrop>
  <LinksUpToDate>false</LinksUpToDate>
  <CharactersWithSpaces>3690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2023-04-23T09:26:01Z</dcterms:modified>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4ACDF4B1302B405996E0C526CA4CA05D</vt:lpwstr>
  </property>
</Properties>
</file>