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rPr>
          <w:rFonts w:ascii="黑体" w:eastAsia="黑体"/>
          <w:b/>
          <w:sz w:val="52"/>
          <w:szCs w:val="52"/>
        </w:rPr>
      </w:pPr>
    </w:p>
    <w:p>
      <w:pPr>
        <w:spacing w:line="640" w:lineRule="exact"/>
        <w:rPr>
          <w:rFonts w:ascii="黑体" w:eastAsia="黑体"/>
          <w:b/>
          <w:sz w:val="52"/>
          <w:szCs w:val="52"/>
        </w:rPr>
      </w:pPr>
    </w:p>
    <w:p>
      <w:pPr>
        <w:spacing w:line="640" w:lineRule="exact"/>
        <w:rPr>
          <w:rFonts w:ascii="黑体" w:eastAsia="黑体"/>
          <w:b/>
          <w:sz w:val="52"/>
          <w:szCs w:val="52"/>
        </w:rPr>
      </w:pPr>
    </w:p>
    <w:p>
      <w:pPr>
        <w:spacing w:line="640" w:lineRule="exact"/>
        <w:jc w:val="center"/>
        <w:rPr>
          <w:rFonts w:hint="eastAsia" w:ascii="黑体" w:eastAsia="黑体"/>
          <w:b/>
          <w:sz w:val="52"/>
          <w:szCs w:val="52"/>
          <w:lang w:eastAsia="zh-CN"/>
        </w:rPr>
      </w:pPr>
      <w:r>
        <w:rPr>
          <w:rFonts w:hint="eastAsia" w:ascii="黑体" w:eastAsia="黑体"/>
          <w:b/>
          <w:sz w:val="52"/>
          <w:szCs w:val="52"/>
        </w:rPr>
        <w:t>西藏察隅县人</w:t>
      </w:r>
      <w:r>
        <w:rPr>
          <w:rFonts w:hint="eastAsia" w:ascii="黑体" w:eastAsia="黑体"/>
          <w:b/>
          <w:sz w:val="52"/>
          <w:szCs w:val="52"/>
          <w:lang w:eastAsia="zh-CN"/>
        </w:rPr>
        <w:t>民代表大会</w:t>
      </w:r>
      <w:r>
        <w:rPr>
          <w:rFonts w:hint="eastAsia" w:ascii="黑体" w:eastAsia="黑体"/>
          <w:b/>
          <w:sz w:val="52"/>
          <w:szCs w:val="52"/>
        </w:rPr>
        <w:t>常</w:t>
      </w:r>
      <w:r>
        <w:rPr>
          <w:rFonts w:hint="eastAsia" w:ascii="黑体" w:eastAsia="黑体"/>
          <w:b/>
          <w:sz w:val="52"/>
          <w:szCs w:val="52"/>
          <w:lang w:eastAsia="zh-CN"/>
        </w:rPr>
        <w:t>务委员会</w:t>
      </w:r>
      <w:r>
        <w:rPr>
          <w:rFonts w:hint="eastAsia" w:ascii="黑体" w:eastAsia="黑体"/>
          <w:b/>
          <w:sz w:val="52"/>
          <w:szCs w:val="52"/>
        </w:rPr>
        <w:t>办公室</w:t>
      </w:r>
    </w:p>
    <w:p>
      <w:pPr>
        <w:spacing w:line="640" w:lineRule="exact"/>
        <w:jc w:val="center"/>
        <w:rPr>
          <w:rFonts w:ascii="黑体" w:eastAsia="黑体"/>
          <w:b/>
          <w:sz w:val="52"/>
          <w:szCs w:val="52"/>
        </w:rPr>
      </w:pPr>
      <w:r>
        <w:rPr>
          <w:rFonts w:ascii="黑体" w:eastAsia="黑体"/>
          <w:b/>
          <w:sz w:val="52"/>
          <w:szCs w:val="52"/>
        </w:rPr>
        <w:t>202</w:t>
      </w:r>
      <w:r>
        <w:rPr>
          <w:rFonts w:hint="eastAsia" w:ascii="黑体" w:eastAsia="黑体"/>
          <w:b/>
          <w:sz w:val="52"/>
          <w:szCs w:val="52"/>
        </w:rPr>
        <w:t>1年度部门预算</w:t>
      </w:r>
    </w:p>
    <w:p>
      <w:pPr>
        <w:rPr>
          <w:sz w:val="44"/>
          <w:szCs w:val="44"/>
        </w:rPr>
      </w:pPr>
    </w:p>
    <w:p>
      <w:pPr>
        <w:rPr>
          <w:sz w:val="44"/>
          <w:szCs w:val="44"/>
        </w:rPr>
      </w:pPr>
    </w:p>
    <w:p>
      <w:pPr>
        <w:rPr>
          <w:sz w:val="44"/>
          <w:szCs w:val="44"/>
        </w:rPr>
      </w:pPr>
    </w:p>
    <w:p>
      <w:pPr>
        <w:rPr>
          <w:sz w:val="44"/>
          <w:szCs w:val="44"/>
        </w:rPr>
      </w:pPr>
    </w:p>
    <w:p>
      <w:pPr>
        <w:rPr>
          <w:sz w:val="44"/>
          <w:szCs w:val="44"/>
        </w:rPr>
      </w:pPr>
    </w:p>
    <w:p>
      <w:pPr>
        <w:rPr>
          <w:sz w:val="44"/>
          <w:szCs w:val="44"/>
        </w:rPr>
      </w:pPr>
    </w:p>
    <w:p>
      <w:pPr>
        <w:rPr>
          <w:sz w:val="44"/>
          <w:szCs w:val="44"/>
        </w:rPr>
      </w:pPr>
    </w:p>
    <w:p>
      <w:pPr>
        <w:rPr>
          <w:sz w:val="44"/>
          <w:szCs w:val="44"/>
        </w:rPr>
      </w:pPr>
    </w:p>
    <w:p>
      <w:pPr>
        <w:rPr>
          <w:sz w:val="44"/>
          <w:szCs w:val="44"/>
        </w:rPr>
      </w:pPr>
    </w:p>
    <w:p>
      <w:pPr>
        <w:rPr>
          <w:sz w:val="44"/>
          <w:szCs w:val="44"/>
        </w:rPr>
      </w:pPr>
    </w:p>
    <w:p>
      <w:pPr>
        <w:rPr>
          <w:sz w:val="44"/>
          <w:szCs w:val="44"/>
        </w:rPr>
      </w:pPr>
    </w:p>
    <w:p>
      <w:pPr>
        <w:jc w:val="center"/>
        <w:rPr>
          <w:rFonts w:ascii="黑体" w:hAnsi="黑体" w:eastAsia="黑体"/>
          <w:b/>
          <w:snapToGrid w:val="0"/>
          <w:w w:val="95"/>
          <w:sz w:val="44"/>
          <w:szCs w:val="44"/>
        </w:rPr>
      </w:pPr>
      <w:r>
        <w:rPr>
          <w:rFonts w:hint="eastAsia" w:ascii="宋体" w:hAnsi="宋体"/>
          <w:sz w:val="32"/>
          <w:szCs w:val="32"/>
          <w:u w:val="none"/>
        </w:rPr>
        <w:t>2021年2月15日</w:t>
      </w:r>
    </w:p>
    <w:p>
      <w:pPr>
        <w:jc w:val="center"/>
        <w:rPr>
          <w:rFonts w:ascii="黑体" w:hAnsi="黑体" w:eastAsia="黑体"/>
          <w:b/>
          <w:snapToGrid w:val="0"/>
          <w:w w:val="95"/>
          <w:sz w:val="44"/>
          <w:szCs w:val="44"/>
        </w:rPr>
      </w:pPr>
      <w:r>
        <w:rPr>
          <w:rFonts w:hint="eastAsia" w:ascii="黑体" w:hAnsi="黑体" w:eastAsia="黑体"/>
          <w:b/>
          <w:snapToGrid w:val="0"/>
          <w:w w:val="95"/>
          <w:sz w:val="44"/>
          <w:szCs w:val="44"/>
        </w:rPr>
        <w:t>目录</w:t>
      </w:r>
    </w:p>
    <w:p>
      <w:pPr>
        <w:rPr>
          <w:rFonts w:ascii="方正小标宋简体" w:hAnsi="仿宋" w:eastAsia="方正小标宋简体"/>
          <w:sz w:val="32"/>
          <w:szCs w:val="32"/>
        </w:rPr>
      </w:pPr>
      <w:r>
        <w:rPr>
          <w:rFonts w:hint="eastAsia" w:ascii="方正小标宋简体" w:hAnsi="仿宋" w:eastAsia="方正小标宋简体"/>
          <w:sz w:val="32"/>
          <w:szCs w:val="32"/>
        </w:rPr>
        <w:t>第一部分</w:t>
      </w:r>
      <w:bookmarkStart w:id="0" w:name="_GoBack"/>
      <w:r>
        <w:rPr>
          <w:rFonts w:hint="eastAsia" w:ascii="方正小标宋简体" w:hAnsi="仿宋" w:eastAsia="方正小标宋简体"/>
          <w:sz w:val="32"/>
          <w:szCs w:val="32"/>
        </w:rPr>
        <w:t xml:space="preserve"> </w:t>
      </w:r>
      <w:bookmarkEnd w:id="0"/>
      <w:r>
        <w:rPr>
          <w:rFonts w:hint="eastAsia" w:ascii="方正小标宋简体" w:hAnsi="仿宋" w:eastAsia="方正小标宋简体"/>
          <w:sz w:val="32"/>
          <w:szCs w:val="32"/>
        </w:rPr>
        <w:t>部门概况</w:t>
      </w:r>
    </w:p>
    <w:p>
      <w:pPr>
        <w:pStyle w:val="11"/>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一、主要职能</w:t>
      </w:r>
    </w:p>
    <w:p>
      <w:pPr>
        <w:pStyle w:val="11"/>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二、部门预算单位构成</w:t>
      </w:r>
    </w:p>
    <w:p>
      <w:pPr>
        <w:rPr>
          <w:rFonts w:ascii="方正小标宋简体" w:hAnsi="仿宋" w:eastAsia="方正小标宋简体"/>
          <w:sz w:val="32"/>
          <w:szCs w:val="32"/>
        </w:rPr>
      </w:pPr>
      <w:r>
        <w:rPr>
          <w:rFonts w:hint="eastAsia" w:ascii="方正小标宋简体" w:hAnsi="仿宋" w:eastAsia="方正小标宋简体"/>
          <w:sz w:val="32"/>
          <w:szCs w:val="32"/>
        </w:rPr>
        <w:t>第二部分 部门2021年度部门预算明细表</w:t>
      </w:r>
    </w:p>
    <w:p>
      <w:pPr>
        <w:pStyle w:val="11"/>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一、部门收支总体情况表</w:t>
      </w:r>
    </w:p>
    <w:p>
      <w:pPr>
        <w:pStyle w:val="11"/>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二、部门收入总体情况表</w:t>
      </w:r>
    </w:p>
    <w:p>
      <w:pPr>
        <w:pStyle w:val="11"/>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三、部门支出总体情况表</w:t>
      </w:r>
    </w:p>
    <w:p>
      <w:pPr>
        <w:pStyle w:val="11"/>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四、财政拨款收支总体情况表</w:t>
      </w:r>
    </w:p>
    <w:p>
      <w:pPr>
        <w:pStyle w:val="11"/>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五、一般公共预算支出情况表（按功能分类科目）</w:t>
      </w:r>
    </w:p>
    <w:p>
      <w:pPr>
        <w:pStyle w:val="11"/>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六、一般公共预算基本支出情况表（按经济分类款级科目）</w:t>
      </w:r>
    </w:p>
    <w:p>
      <w:pPr>
        <w:pStyle w:val="11"/>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七、一般公共预算“三公”经费支出情况表</w:t>
      </w:r>
    </w:p>
    <w:p>
      <w:pPr>
        <w:pStyle w:val="11"/>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八、政府性基金“三公”经费支出情况表</w:t>
      </w:r>
    </w:p>
    <w:p>
      <w:pPr>
        <w:pStyle w:val="11"/>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九、政府性基金预算支出情况表</w:t>
      </w:r>
    </w:p>
    <w:p>
      <w:pPr>
        <w:pStyle w:val="11"/>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十、政府购买服务预算表</w:t>
      </w:r>
    </w:p>
    <w:p>
      <w:pPr>
        <w:pStyle w:val="11"/>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十一、项目支出绩效表</w:t>
      </w:r>
    </w:p>
    <w:p>
      <w:pPr>
        <w:rPr>
          <w:rFonts w:ascii="方正小标宋简体" w:hAnsi="仿宋" w:eastAsia="方正小标宋简体"/>
          <w:sz w:val="32"/>
          <w:szCs w:val="32"/>
        </w:rPr>
      </w:pPr>
      <w:r>
        <w:rPr>
          <w:rFonts w:hint="eastAsia" w:ascii="方正小标宋简体" w:hAnsi="仿宋" w:eastAsia="方正小标宋简体"/>
          <w:sz w:val="32"/>
          <w:szCs w:val="32"/>
        </w:rPr>
        <w:t>第三部分 部门2021年度部门预算数据分析</w:t>
      </w:r>
    </w:p>
    <w:p>
      <w:pPr>
        <w:rPr>
          <w:rFonts w:ascii="仿宋_GB2312" w:hAnsi="宋体" w:eastAsia="仿宋_GB2312"/>
          <w:b/>
          <w:snapToGrid w:val="0"/>
          <w:w w:val="95"/>
          <w:sz w:val="36"/>
          <w:szCs w:val="36"/>
        </w:rPr>
      </w:pPr>
      <w:r>
        <w:rPr>
          <w:rFonts w:hint="eastAsia" w:ascii="方正小标宋简体" w:hAnsi="仿宋" w:eastAsia="方正小标宋简体"/>
          <w:sz w:val="32"/>
          <w:szCs w:val="32"/>
        </w:rPr>
        <w:t>第四部分 名词解释</w:t>
      </w:r>
    </w:p>
    <w:p>
      <w:pPr>
        <w:rPr>
          <w:rFonts w:ascii="宋体" w:hAnsi="宋体"/>
          <w:b/>
          <w:snapToGrid w:val="0"/>
          <w:w w:val="95"/>
          <w:sz w:val="44"/>
          <w:szCs w:val="44"/>
        </w:rPr>
      </w:pPr>
    </w:p>
    <w:p>
      <w:pPr>
        <w:rPr>
          <w:rFonts w:hint="eastAsia" w:ascii="方正小标宋简体" w:hAnsi="方正小标宋简体" w:eastAsia="方正小标宋简体" w:cs="方正小标宋简体"/>
          <w:kern w:val="2"/>
          <w:sz w:val="44"/>
          <w:szCs w:val="44"/>
        </w:rPr>
      </w:pPr>
      <w:r>
        <w:rPr>
          <w:rFonts w:hint="eastAsia" w:ascii="方正小标宋简体" w:hAnsi="方正小标宋简体" w:eastAsia="方正小标宋简体" w:cs="方正小标宋简体"/>
          <w:kern w:val="2"/>
          <w:sz w:val="44"/>
          <w:szCs w:val="44"/>
        </w:rPr>
        <w:br w:type="page"/>
      </w:r>
    </w:p>
    <w:p>
      <w:pPr>
        <w:spacing w:line="560" w:lineRule="exact"/>
        <w:jc w:val="center"/>
        <w:rPr>
          <w:rFonts w:hint="eastAsia" w:ascii="方正小标宋简体" w:hAnsi="方正小标宋简体" w:eastAsia="方正小标宋简体" w:cs="方正小标宋简体"/>
          <w:kern w:val="2"/>
          <w:sz w:val="44"/>
          <w:szCs w:val="44"/>
        </w:rPr>
      </w:pPr>
      <w:r>
        <w:rPr>
          <w:rFonts w:hint="eastAsia" w:ascii="方正小标宋简体" w:hAnsi="方正小标宋简体" w:eastAsia="方正小标宋简体" w:cs="方正小标宋简体"/>
          <w:kern w:val="2"/>
          <w:sz w:val="44"/>
          <w:szCs w:val="44"/>
        </w:rPr>
        <w:t>第一部分</w:t>
      </w:r>
      <w:r>
        <w:rPr>
          <w:rFonts w:hint="eastAsia" w:ascii="方正小标宋简体" w:hAnsi="方正小标宋简体" w:eastAsia="方正小标宋简体" w:cs="方正小标宋简体"/>
          <w:kern w:val="2"/>
          <w:sz w:val="44"/>
          <w:szCs w:val="44"/>
          <w:lang w:val="en-US" w:eastAsia="zh-CN"/>
        </w:rPr>
        <w:t xml:space="preserve"> </w:t>
      </w:r>
      <w:r>
        <w:rPr>
          <w:rFonts w:hint="eastAsia" w:ascii="方正小标宋简体" w:hAnsi="方正小标宋简体" w:eastAsia="方正小标宋简体" w:cs="方正小标宋简体"/>
          <w:kern w:val="2"/>
          <w:sz w:val="44"/>
          <w:szCs w:val="44"/>
        </w:rPr>
        <w:t>察隅县人大办概况</w:t>
      </w:r>
    </w:p>
    <w:p>
      <w:pPr>
        <w:rPr>
          <w:rFonts w:ascii="黑体" w:hAnsi="黑体" w:eastAsia="黑体"/>
          <w:sz w:val="32"/>
          <w:szCs w:val="32"/>
        </w:rPr>
      </w:pPr>
      <w:r>
        <w:rPr>
          <w:rFonts w:hint="eastAsia" w:ascii="黑体" w:hAnsi="黑体" w:eastAsia="黑体"/>
          <w:sz w:val="32"/>
          <w:szCs w:val="32"/>
        </w:rPr>
        <w:t>一、主要职能</w:t>
      </w:r>
    </w:p>
    <w:p>
      <w:pPr>
        <w:spacing w:line="540" w:lineRule="exact"/>
        <w:ind w:firstLine="640" w:firstLineChars="200"/>
        <w:rPr>
          <w:rFonts w:ascii="黑体" w:hAnsi="黑体" w:eastAsia="黑体" w:cs="黑体"/>
          <w:sz w:val="32"/>
          <w:szCs w:val="32"/>
        </w:rPr>
      </w:pPr>
      <w:r>
        <w:rPr>
          <w:rFonts w:hint="eastAsia" w:ascii="黑体" w:hAnsi="黑体" w:eastAsia="黑体" w:cs="黑体"/>
          <w:sz w:val="32"/>
          <w:szCs w:val="32"/>
        </w:rPr>
        <w:t>一、部门职责</w:t>
      </w:r>
    </w:p>
    <w:p>
      <w:pPr>
        <w:widowControl w:val="0"/>
        <w:numPr>
          <w:ilvl w:val="0"/>
          <w:numId w:val="1"/>
        </w:numPr>
        <w:adjustRightInd/>
        <w:snapToGrid/>
        <w:spacing w:after="0" w:line="54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在县人大常委会的领导下，负责检查国家各项法律、法规及自治区人大常委会制定的地方法规的贯彻执行情况；配合有关部门搞好全县的普法工作。</w:t>
      </w:r>
    </w:p>
    <w:p>
      <w:pPr>
        <w:widowControl w:val="0"/>
        <w:numPr>
          <w:ilvl w:val="0"/>
          <w:numId w:val="1"/>
        </w:numPr>
        <w:adjustRightInd/>
        <w:snapToGrid/>
        <w:spacing w:after="0" w:line="54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承办县人大代会、常委会的筹备及会务工作。</w:t>
      </w:r>
    </w:p>
    <w:p>
      <w:pPr>
        <w:widowControl w:val="0"/>
        <w:numPr>
          <w:ilvl w:val="0"/>
          <w:numId w:val="1"/>
        </w:numPr>
        <w:adjustRightInd/>
        <w:snapToGrid/>
        <w:spacing w:after="0" w:line="54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搞好人大代表的视察活动；督查人大代表提案、建议、批评的落实；负责联系各级人大代表工作；做好人民群众的来信来访工作。</w:t>
      </w:r>
    </w:p>
    <w:p>
      <w:pPr>
        <w:widowControl w:val="0"/>
        <w:numPr>
          <w:ilvl w:val="0"/>
          <w:numId w:val="1"/>
        </w:numPr>
        <w:adjustRightInd/>
        <w:snapToGrid/>
        <w:spacing w:after="0" w:line="54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协助县人大常委会做好对“一府两院”的监督工作；指导各乡（镇）人大主席团开好乡（镇）人代表。</w:t>
      </w:r>
    </w:p>
    <w:p>
      <w:pPr>
        <w:widowControl w:val="0"/>
        <w:numPr>
          <w:ilvl w:val="0"/>
          <w:numId w:val="1"/>
        </w:numPr>
        <w:adjustRightInd/>
        <w:snapToGrid/>
        <w:spacing w:after="0" w:line="54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承办县委、县人大常委会交办和地区人大工委办公室委托的其他工作。</w:t>
      </w:r>
    </w:p>
    <w:p>
      <w:pPr>
        <w:rPr>
          <w:rFonts w:ascii="仿宋_GB2312" w:eastAsia="仿宋_GB2312"/>
          <w:b/>
          <w:sz w:val="32"/>
          <w:szCs w:val="32"/>
        </w:rPr>
      </w:pPr>
      <w:r>
        <w:rPr>
          <w:rFonts w:hint="eastAsia" w:ascii="仿宋_GB2312" w:eastAsia="仿宋_GB2312"/>
          <w:b/>
          <w:sz w:val="32"/>
          <w:szCs w:val="32"/>
        </w:rPr>
        <w:t>（二）部门机构设置。</w:t>
      </w:r>
    </w:p>
    <w:p>
      <w:pPr>
        <w:spacing w:line="540" w:lineRule="exact"/>
        <w:ind w:firstLine="160" w:firstLineChars="50"/>
        <w:rPr>
          <w:rFonts w:ascii="仿宋_GB2312" w:hAnsi="黑体" w:eastAsia="仿宋_GB2312"/>
          <w:sz w:val="32"/>
          <w:szCs w:val="32"/>
        </w:rPr>
      </w:pPr>
      <w:r>
        <w:rPr>
          <w:rFonts w:hint="eastAsia" w:ascii="仿宋_GB2312" w:eastAsia="仿宋_GB2312"/>
          <w:sz w:val="32"/>
          <w:szCs w:val="32"/>
        </w:rPr>
        <w:t>部门内</w:t>
      </w:r>
      <w:r>
        <w:rPr>
          <w:rFonts w:ascii="仿宋_GB2312" w:eastAsia="仿宋_GB2312"/>
          <w:sz w:val="32"/>
          <w:szCs w:val="32"/>
        </w:rPr>
        <w:t>设机构</w:t>
      </w:r>
      <w:r>
        <w:rPr>
          <w:rFonts w:hint="eastAsia" w:ascii="仿宋_GB2312" w:eastAsia="仿宋_GB2312"/>
          <w:sz w:val="32"/>
          <w:szCs w:val="32"/>
        </w:rPr>
        <w:t>1个</w:t>
      </w:r>
      <w:r>
        <w:rPr>
          <w:rFonts w:ascii="仿宋_GB2312" w:eastAsia="仿宋_GB2312"/>
          <w:sz w:val="32"/>
          <w:szCs w:val="32"/>
        </w:rPr>
        <w:t>，</w:t>
      </w:r>
      <w:r>
        <w:rPr>
          <w:rFonts w:hint="eastAsia" w:ascii="仿宋_GB2312" w:hAnsi="仿宋_GB2312" w:eastAsia="仿宋_GB2312" w:cs="仿宋_GB2312"/>
          <w:sz w:val="32"/>
          <w:szCs w:val="32"/>
        </w:rPr>
        <w:t>察隅县人大常委办公室。</w:t>
      </w:r>
    </w:p>
    <w:p>
      <w:pPr>
        <w:spacing w:beforeLines="100" w:afterLines="100" w:line="460" w:lineRule="exact"/>
        <w:rPr>
          <w:rFonts w:ascii="仿宋_GB2312" w:eastAsia="仿宋_GB2312"/>
          <w:b/>
          <w:sz w:val="32"/>
          <w:szCs w:val="32"/>
        </w:rPr>
      </w:pPr>
      <w:r>
        <w:rPr>
          <w:rFonts w:hint="eastAsia" w:ascii="仿宋_GB2312" w:eastAsia="仿宋_GB2312"/>
          <w:b/>
          <w:sz w:val="32"/>
          <w:szCs w:val="32"/>
        </w:rPr>
        <w:t>二、部门预算单位构成</w:t>
      </w:r>
    </w:p>
    <w:p>
      <w:pPr>
        <w:spacing w:line="540" w:lineRule="exact"/>
        <w:ind w:firstLine="160" w:firstLineChars="50"/>
        <w:rPr>
          <w:rFonts w:ascii="仿宋_GB2312" w:hAnsi="黑体" w:eastAsia="仿宋_GB2312"/>
          <w:sz w:val="32"/>
          <w:szCs w:val="32"/>
        </w:rPr>
      </w:pPr>
      <w:r>
        <w:rPr>
          <w:rFonts w:hint="eastAsia" w:ascii="仿宋_GB2312" w:hAnsi="仿宋_GB2312" w:eastAsia="仿宋_GB2312" w:cs="仿宋_GB2312"/>
          <w:sz w:val="32"/>
          <w:szCs w:val="32"/>
        </w:rPr>
        <w:t>察隅县人大常委办公室。</w:t>
      </w:r>
    </w:p>
    <w:p>
      <w:pPr>
        <w:widowControl w:val="0"/>
        <w:adjustRightInd/>
        <w:snapToGrid/>
        <w:spacing w:after="0" w:line="540" w:lineRule="exact"/>
        <w:jc w:val="both"/>
        <w:rPr>
          <w:rFonts w:ascii="仿宋_GB2312" w:hAnsi="仿宋_GB2312" w:eastAsia="仿宋_GB2312" w:cs="仿宋_GB2312"/>
          <w:sz w:val="32"/>
          <w:szCs w:val="32"/>
        </w:rPr>
      </w:pPr>
    </w:p>
    <w:p>
      <w:pPr>
        <w:spacing w:line="560" w:lineRule="exact"/>
        <w:jc w:val="center"/>
        <w:rPr>
          <w:rFonts w:ascii="仿宋_GB2312" w:hAnsi="仿宋_GB2312" w:eastAsia="仿宋_GB2312" w:cs="仿宋_GB2312"/>
          <w:sz w:val="32"/>
          <w:szCs w:val="32"/>
        </w:rPr>
      </w:pPr>
    </w:p>
    <w:p>
      <w:pPr>
        <w:rPr>
          <w:rFonts w:hint="eastAsia" w:ascii="方正小标宋简体" w:hAnsi="方正小标宋简体" w:eastAsia="方正小标宋简体" w:cs="方正小标宋简体"/>
          <w:kern w:val="2"/>
          <w:sz w:val="44"/>
          <w:szCs w:val="44"/>
        </w:rPr>
      </w:pPr>
      <w:r>
        <w:rPr>
          <w:rFonts w:hint="eastAsia" w:ascii="方正小标宋简体" w:hAnsi="方正小标宋简体" w:eastAsia="方正小标宋简体" w:cs="方正小标宋简体"/>
          <w:kern w:val="2"/>
          <w:sz w:val="44"/>
          <w:szCs w:val="44"/>
        </w:rPr>
        <w:br w:type="page"/>
      </w:r>
    </w:p>
    <w:p>
      <w:pPr>
        <w:spacing w:line="560" w:lineRule="exact"/>
        <w:jc w:val="center"/>
        <w:rPr>
          <w:rFonts w:ascii="黑体" w:hAnsi="黑体" w:eastAsia="黑体"/>
          <w:b/>
          <w:snapToGrid w:val="0"/>
          <w:w w:val="95"/>
          <w:sz w:val="44"/>
          <w:szCs w:val="44"/>
        </w:rPr>
      </w:pPr>
      <w:r>
        <w:rPr>
          <w:rFonts w:hint="eastAsia" w:ascii="方正小标宋简体" w:hAnsi="方正小标宋简体" w:eastAsia="方正小标宋简体" w:cs="方正小标宋简体"/>
          <w:kern w:val="2"/>
          <w:sz w:val="44"/>
          <w:szCs w:val="44"/>
        </w:rPr>
        <w:t>第二部分 察隅县人大办2021年度部门预算明细表（详见附件）</w:t>
      </w:r>
    </w:p>
    <w:p>
      <w:pPr>
        <w:spacing w:line="560" w:lineRule="exact"/>
        <w:jc w:val="center"/>
        <w:rPr>
          <w:rFonts w:ascii="黑体" w:hAnsi="黑体" w:eastAsia="黑体"/>
          <w:b/>
          <w:snapToGrid w:val="0"/>
          <w:w w:val="95"/>
          <w:sz w:val="44"/>
          <w:szCs w:val="44"/>
        </w:rPr>
      </w:pPr>
    </w:p>
    <w:p>
      <w:pPr>
        <w:rPr>
          <w:rFonts w:ascii="黑体" w:hAnsi="黑体" w:eastAsia="黑体"/>
          <w:sz w:val="32"/>
          <w:szCs w:val="32"/>
        </w:rPr>
      </w:pPr>
      <w:r>
        <w:rPr>
          <w:rFonts w:hint="eastAsia" w:ascii="黑体" w:hAnsi="黑体" w:eastAsia="黑体"/>
          <w:sz w:val="32"/>
          <w:szCs w:val="32"/>
        </w:rPr>
        <w:t>一、部门收支总体情况表</w:t>
      </w:r>
    </w:p>
    <w:p>
      <w:pPr>
        <w:rPr>
          <w:rFonts w:ascii="黑体" w:hAnsi="黑体" w:eastAsia="黑体"/>
          <w:sz w:val="32"/>
          <w:szCs w:val="32"/>
        </w:rPr>
      </w:pPr>
      <w:r>
        <w:rPr>
          <w:rFonts w:hint="eastAsia" w:ascii="黑体" w:hAnsi="黑体" w:eastAsia="黑体"/>
          <w:sz w:val="32"/>
          <w:szCs w:val="32"/>
        </w:rPr>
        <w:t>二、部门收入总体情况表</w:t>
      </w:r>
    </w:p>
    <w:p>
      <w:pPr>
        <w:rPr>
          <w:rFonts w:ascii="黑体" w:hAnsi="黑体" w:eastAsia="黑体"/>
          <w:sz w:val="32"/>
          <w:szCs w:val="32"/>
        </w:rPr>
      </w:pPr>
      <w:r>
        <w:rPr>
          <w:rFonts w:hint="eastAsia" w:ascii="黑体" w:hAnsi="黑体" w:eastAsia="黑体"/>
          <w:sz w:val="32"/>
          <w:szCs w:val="32"/>
        </w:rPr>
        <w:t>三、部门支出总体情况表</w:t>
      </w:r>
    </w:p>
    <w:p>
      <w:pPr>
        <w:rPr>
          <w:rFonts w:ascii="黑体" w:hAnsi="黑体" w:eastAsia="黑体"/>
          <w:sz w:val="32"/>
          <w:szCs w:val="32"/>
        </w:rPr>
      </w:pPr>
      <w:r>
        <w:rPr>
          <w:rFonts w:hint="eastAsia" w:ascii="黑体" w:hAnsi="黑体" w:eastAsia="黑体"/>
          <w:sz w:val="32"/>
          <w:szCs w:val="32"/>
        </w:rPr>
        <w:t>四、财政拨款收支总体情况表</w:t>
      </w:r>
    </w:p>
    <w:p>
      <w:pPr>
        <w:rPr>
          <w:rFonts w:ascii="黑体" w:hAnsi="黑体" w:eastAsia="黑体"/>
          <w:sz w:val="32"/>
          <w:szCs w:val="32"/>
        </w:rPr>
      </w:pPr>
      <w:r>
        <w:rPr>
          <w:rFonts w:hint="eastAsia" w:ascii="黑体" w:hAnsi="黑体" w:eastAsia="黑体"/>
          <w:sz w:val="32"/>
          <w:szCs w:val="32"/>
        </w:rPr>
        <w:t>五、一般公共预算支出情况表（按功能分类科目）</w:t>
      </w:r>
    </w:p>
    <w:p>
      <w:pPr>
        <w:rPr>
          <w:rFonts w:ascii="黑体" w:hAnsi="黑体" w:eastAsia="黑体"/>
          <w:sz w:val="32"/>
          <w:szCs w:val="32"/>
        </w:rPr>
      </w:pPr>
      <w:r>
        <w:rPr>
          <w:rFonts w:hint="eastAsia" w:ascii="黑体" w:hAnsi="黑体" w:eastAsia="黑体"/>
          <w:sz w:val="32"/>
          <w:szCs w:val="32"/>
        </w:rPr>
        <w:t>六、一般公共预算基本支出情况表（按经济分类款级科目）</w:t>
      </w:r>
    </w:p>
    <w:p>
      <w:pPr>
        <w:rPr>
          <w:rFonts w:ascii="黑体" w:hAnsi="黑体" w:eastAsia="黑体"/>
          <w:sz w:val="32"/>
          <w:szCs w:val="32"/>
        </w:rPr>
      </w:pPr>
      <w:r>
        <w:rPr>
          <w:rFonts w:hint="eastAsia" w:ascii="黑体" w:hAnsi="黑体" w:eastAsia="黑体"/>
          <w:sz w:val="32"/>
          <w:szCs w:val="32"/>
        </w:rPr>
        <w:t>七、一般公共预算“三公”经费支出情况表</w:t>
      </w:r>
    </w:p>
    <w:p>
      <w:pPr>
        <w:rPr>
          <w:rFonts w:ascii="黑体" w:hAnsi="黑体" w:eastAsia="黑体"/>
          <w:sz w:val="32"/>
          <w:szCs w:val="32"/>
        </w:rPr>
      </w:pPr>
      <w:r>
        <w:rPr>
          <w:rFonts w:hint="eastAsia" w:ascii="黑体" w:hAnsi="黑体" w:eastAsia="黑体"/>
          <w:sz w:val="32"/>
          <w:szCs w:val="32"/>
        </w:rPr>
        <w:t>八、政府性基金“三公”经费支出情况表</w:t>
      </w:r>
    </w:p>
    <w:p>
      <w:pPr>
        <w:rPr>
          <w:rFonts w:ascii="黑体" w:hAnsi="黑体" w:eastAsia="黑体"/>
          <w:sz w:val="32"/>
          <w:szCs w:val="32"/>
        </w:rPr>
      </w:pPr>
      <w:r>
        <w:rPr>
          <w:rFonts w:hint="eastAsia" w:ascii="黑体" w:hAnsi="黑体" w:eastAsia="黑体"/>
          <w:sz w:val="32"/>
          <w:szCs w:val="32"/>
        </w:rPr>
        <w:t>九、政府性基金预算支出情况表</w:t>
      </w:r>
    </w:p>
    <w:p>
      <w:pPr>
        <w:rPr>
          <w:rFonts w:ascii="黑体" w:hAnsi="黑体" w:eastAsia="黑体"/>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政府购买服务预算表</w:t>
      </w:r>
    </w:p>
    <w:p>
      <w:pPr>
        <w:spacing w:line="220" w:lineRule="atLeast"/>
      </w:pPr>
      <w:r>
        <w:rPr>
          <w:rFonts w:hint="eastAsia" w:ascii="黑体" w:hAnsi="黑体" w:eastAsia="黑体"/>
          <w:sz w:val="32"/>
          <w:szCs w:val="32"/>
        </w:rPr>
        <w:t>十一、项目支出绩效表</w:t>
      </w:r>
    </w:p>
    <w:p>
      <w:pPr>
        <w:spacing w:line="560" w:lineRule="exact"/>
        <w:jc w:val="center"/>
        <w:rPr>
          <w:rFonts w:ascii="黑体" w:hAnsi="黑体" w:eastAsia="黑体"/>
          <w:b/>
          <w:snapToGrid w:val="0"/>
          <w:w w:val="95"/>
          <w:sz w:val="44"/>
          <w:szCs w:val="44"/>
        </w:rPr>
      </w:pPr>
    </w:p>
    <w:p>
      <w:pPr>
        <w:spacing w:line="560" w:lineRule="exact"/>
        <w:jc w:val="center"/>
        <w:rPr>
          <w:rFonts w:ascii="黑体" w:hAnsi="黑体" w:eastAsia="黑体"/>
          <w:b/>
          <w:snapToGrid w:val="0"/>
          <w:w w:val="95"/>
          <w:sz w:val="44"/>
          <w:szCs w:val="44"/>
        </w:rPr>
      </w:pPr>
    </w:p>
    <w:p>
      <w:pPr>
        <w:rPr>
          <w:rFonts w:hint="eastAsia" w:ascii="黑体" w:hAnsi="黑体" w:eastAsia="黑体"/>
          <w:b/>
          <w:snapToGrid w:val="0"/>
          <w:w w:val="95"/>
          <w:sz w:val="44"/>
          <w:szCs w:val="44"/>
        </w:rPr>
      </w:pPr>
      <w:r>
        <w:rPr>
          <w:rFonts w:hint="eastAsia" w:ascii="黑体" w:hAnsi="黑体" w:eastAsia="黑体"/>
          <w:b/>
          <w:snapToGrid w:val="0"/>
          <w:w w:val="95"/>
          <w:sz w:val="44"/>
          <w:szCs w:val="44"/>
        </w:rPr>
        <w:br w:type="page"/>
      </w:r>
    </w:p>
    <w:p>
      <w:pPr>
        <w:spacing w:line="560" w:lineRule="exact"/>
        <w:jc w:val="center"/>
        <w:rPr>
          <w:rFonts w:hint="eastAsia" w:ascii="方正小标宋简体" w:hAnsi="方正小标宋简体" w:eastAsia="方正小标宋简体" w:cs="方正小标宋简体"/>
          <w:kern w:val="2"/>
          <w:sz w:val="44"/>
          <w:szCs w:val="44"/>
        </w:rPr>
      </w:pPr>
      <w:r>
        <w:rPr>
          <w:rFonts w:hint="eastAsia" w:ascii="方正小标宋简体" w:hAnsi="方正小标宋简体" w:eastAsia="方正小标宋简体" w:cs="方正小标宋简体"/>
          <w:kern w:val="2"/>
          <w:sz w:val="44"/>
          <w:szCs w:val="44"/>
        </w:rPr>
        <w:t>第三部分 察隅县人大办2021年度部门预算数据分析</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eastAsia" w:ascii="黑体" w:hAnsi="黑体" w:eastAsia="黑体"/>
          <w:sz w:val="32"/>
          <w:szCs w:val="32"/>
        </w:rPr>
      </w:pPr>
      <w:r>
        <w:rPr>
          <w:rFonts w:hint="eastAsia" w:ascii="黑体" w:hAnsi="黑体" w:eastAsia="黑体"/>
          <w:sz w:val="32"/>
          <w:szCs w:val="32"/>
        </w:rPr>
        <w:t>一、2021年部门收支总表的说明</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eastAsia="仿宋_GB2312" w:hAnsiTheme="minorHAnsi"/>
          <w:kern w:val="2"/>
          <w:sz w:val="32"/>
          <w:szCs w:val="32"/>
          <w:lang w:val="en-US" w:eastAsia="zh-CN"/>
        </w:rPr>
      </w:pPr>
      <w:r>
        <w:rPr>
          <w:rFonts w:hint="eastAsia" w:ascii="仿宋_GB2312" w:eastAsia="仿宋_GB2312" w:hAnsiTheme="minorHAnsi"/>
          <w:kern w:val="2"/>
          <w:sz w:val="32"/>
          <w:szCs w:val="32"/>
          <w:lang w:val="en-US" w:eastAsia="zh-CN"/>
        </w:rPr>
        <w:t>2021年察隅县人大办部门预算总收入为286.39万元，全部为一般公共预算拨款收入，其中:本年收入286.39万元；无上年结转。总支出为286.39万元，其中: 一般公共服务支出286.39万元，占比100%。收支平衡。</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ascii="黑体" w:hAnsi="黑体" w:eastAsia="黑体"/>
          <w:sz w:val="32"/>
          <w:szCs w:val="32"/>
        </w:rPr>
      </w:pPr>
      <w:r>
        <w:rPr>
          <w:rFonts w:hint="eastAsia" w:ascii="黑体" w:hAnsi="黑体" w:eastAsia="黑体"/>
          <w:sz w:val="32"/>
          <w:szCs w:val="32"/>
        </w:rPr>
        <w:t>二、2021年度部门收入总表的说明</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eastAsia="仿宋_GB2312" w:hAnsiTheme="minorHAnsi"/>
          <w:kern w:val="2"/>
          <w:sz w:val="32"/>
          <w:szCs w:val="32"/>
          <w:lang w:val="en-US" w:eastAsia="zh-CN"/>
        </w:rPr>
      </w:pPr>
      <w:r>
        <w:rPr>
          <w:rFonts w:hint="eastAsia" w:ascii="仿宋_GB2312" w:eastAsia="仿宋_GB2312" w:hAnsiTheme="minorHAnsi"/>
          <w:kern w:val="2"/>
          <w:sz w:val="32"/>
          <w:szCs w:val="32"/>
          <w:lang w:val="en-US" w:eastAsia="zh-CN"/>
        </w:rPr>
        <w:t>2021年总收入预算288.96万元，其中：一般公共预算拨款收入286.39万元，占比99.11%；上年结转2.57万元，占比0.89%%；较2020年增加6.97万元。主要是本单位本年度人员变动，公用经费预算有所增加。</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eastAsia" w:ascii="黑体" w:hAnsi="黑体" w:eastAsia="黑体"/>
          <w:sz w:val="32"/>
          <w:szCs w:val="32"/>
        </w:rPr>
      </w:pPr>
      <w:r>
        <w:rPr>
          <w:rFonts w:hint="eastAsia" w:ascii="黑体" w:hAnsi="黑体" w:eastAsia="黑体"/>
          <w:sz w:val="32"/>
          <w:szCs w:val="32"/>
        </w:rPr>
        <w:t>三、2021年部门支出总表的说明</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eastAsia="仿宋_GB2312" w:hAnsiTheme="minorHAnsi"/>
          <w:kern w:val="2"/>
          <w:sz w:val="32"/>
          <w:szCs w:val="32"/>
          <w:lang w:val="en-US" w:eastAsia="zh-CN"/>
        </w:rPr>
      </w:pPr>
      <w:r>
        <w:rPr>
          <w:rFonts w:hint="eastAsia" w:ascii="仿宋_GB2312" w:eastAsia="仿宋_GB2312" w:hAnsiTheme="minorHAnsi"/>
          <w:kern w:val="2"/>
          <w:sz w:val="32"/>
          <w:szCs w:val="32"/>
          <w:lang w:val="en-US" w:eastAsia="zh-CN"/>
        </w:rPr>
        <w:t>2021年支出预算286.39万元，其中：基本支出249.39万元，占87.08%，主要用于工资福利支出、商品和服务支出；项目支出37万元，占12.92%，主要用于人大代表履职及乡镇人大履职保障等支出。</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eastAsia" w:ascii="黑体" w:hAnsi="黑体" w:eastAsia="黑体"/>
          <w:sz w:val="32"/>
          <w:szCs w:val="32"/>
        </w:rPr>
      </w:pPr>
      <w:r>
        <w:rPr>
          <w:rFonts w:hint="eastAsia" w:ascii="黑体" w:hAnsi="黑体" w:eastAsia="黑体"/>
          <w:sz w:val="32"/>
          <w:szCs w:val="32"/>
        </w:rPr>
        <w:t>四、2021年财政拨款收支总表的说明</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default" w:ascii="仿宋_GB2312" w:eastAsia="仿宋_GB2312" w:hAnsiTheme="minorHAnsi"/>
          <w:kern w:val="2"/>
          <w:sz w:val="32"/>
          <w:szCs w:val="32"/>
          <w:lang w:val="en-US" w:eastAsia="zh-CN"/>
        </w:rPr>
      </w:pPr>
      <w:r>
        <w:rPr>
          <w:rFonts w:hint="eastAsia" w:ascii="仿宋_GB2312" w:eastAsia="仿宋_GB2312" w:hAnsiTheme="minorHAnsi"/>
          <w:kern w:val="2"/>
          <w:sz w:val="32"/>
          <w:szCs w:val="32"/>
          <w:lang w:val="en-US" w:eastAsia="zh-CN"/>
        </w:rPr>
        <w:t>2021年财政拨款收支总预算286.39万元，全部为一般公共预算拨款收入，其中:本年收入286.39万元，占100%。支出包括：一般公共服务支出286.39万元、上年结转2.57万元。</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eastAsia" w:ascii="黑体" w:hAnsi="黑体" w:eastAsia="黑体"/>
          <w:sz w:val="32"/>
          <w:szCs w:val="32"/>
        </w:rPr>
      </w:pPr>
      <w:r>
        <w:rPr>
          <w:rFonts w:hint="eastAsia" w:ascii="黑体" w:hAnsi="黑体" w:eastAsia="黑体"/>
          <w:sz w:val="32"/>
          <w:szCs w:val="32"/>
        </w:rPr>
        <w:t>五、2021年一般公共预算支出表的说明</w:t>
      </w:r>
    </w:p>
    <w:p>
      <w:pPr>
        <w:keepNext w:val="0"/>
        <w:keepLines w:val="0"/>
        <w:pageBreakBefore w:val="0"/>
        <w:widowControl/>
        <w:kinsoku/>
        <w:wordWrap/>
        <w:overflowPunct/>
        <w:topLinePunct w:val="0"/>
        <w:autoSpaceDE/>
        <w:autoSpaceDN/>
        <w:bidi w:val="0"/>
        <w:adjustRightInd w:val="0"/>
        <w:snapToGrid w:val="0"/>
        <w:spacing w:line="560" w:lineRule="exact"/>
        <w:ind w:firstLine="480" w:firstLineChars="150"/>
        <w:textAlignment w:val="auto"/>
        <w:rPr>
          <w:rFonts w:ascii="楷体" w:hAnsi="楷体" w:eastAsia="楷体"/>
          <w:sz w:val="32"/>
          <w:szCs w:val="32"/>
        </w:rPr>
      </w:pPr>
      <w:r>
        <w:rPr>
          <w:rFonts w:hint="eastAsia" w:ascii="楷体" w:hAnsi="楷体" w:eastAsia="楷体"/>
          <w:sz w:val="32"/>
          <w:szCs w:val="32"/>
        </w:rPr>
        <w:t>（一）一般公共预算当年拨款规模变化情况。</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eastAsia="仿宋_GB2312" w:hAnsiTheme="minorHAnsi"/>
          <w:kern w:val="2"/>
          <w:sz w:val="32"/>
          <w:szCs w:val="32"/>
          <w:lang w:val="en-US" w:eastAsia="zh-CN"/>
        </w:rPr>
      </w:pPr>
      <w:r>
        <w:rPr>
          <w:rFonts w:hint="eastAsia" w:ascii="仿宋_GB2312" w:eastAsia="仿宋_GB2312" w:hAnsiTheme="minorHAnsi"/>
          <w:kern w:val="2"/>
          <w:sz w:val="32"/>
          <w:szCs w:val="32"/>
          <w:lang w:val="en-US" w:eastAsia="zh-CN"/>
        </w:rPr>
        <w:t>2021年一般公共预算当年拨款286.39万元,比2020年执行数增加4.4万元，主要原因：本单位今年预算增加。</w:t>
      </w:r>
    </w:p>
    <w:p>
      <w:pPr>
        <w:keepNext w:val="0"/>
        <w:keepLines w:val="0"/>
        <w:pageBreakBefore w:val="0"/>
        <w:widowControl/>
        <w:kinsoku/>
        <w:wordWrap/>
        <w:overflowPunct/>
        <w:topLinePunct w:val="0"/>
        <w:autoSpaceDE/>
        <w:autoSpaceDN/>
        <w:bidi w:val="0"/>
        <w:adjustRightInd w:val="0"/>
        <w:snapToGrid w:val="0"/>
        <w:spacing w:line="560" w:lineRule="exact"/>
        <w:ind w:firstLine="480" w:firstLineChars="150"/>
        <w:textAlignment w:val="auto"/>
        <w:rPr>
          <w:rFonts w:hint="eastAsia" w:ascii="楷体" w:hAnsi="楷体" w:eastAsia="楷体"/>
          <w:sz w:val="32"/>
          <w:szCs w:val="32"/>
        </w:rPr>
      </w:pPr>
      <w:r>
        <w:rPr>
          <w:rFonts w:hint="eastAsia" w:ascii="楷体" w:hAnsi="楷体" w:eastAsia="楷体"/>
          <w:sz w:val="32"/>
          <w:szCs w:val="32"/>
        </w:rPr>
        <w:t>（二）一般公共预算当年拨款结构情况。</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eastAsia="仿宋_GB2312" w:hAnsiTheme="minorHAnsi"/>
          <w:kern w:val="2"/>
          <w:sz w:val="32"/>
          <w:szCs w:val="32"/>
          <w:lang w:val="en-US" w:eastAsia="zh-CN"/>
        </w:rPr>
      </w:pPr>
      <w:r>
        <w:rPr>
          <w:rFonts w:hint="eastAsia" w:ascii="仿宋_GB2312" w:eastAsia="仿宋_GB2312" w:hAnsiTheme="minorHAnsi"/>
          <w:kern w:val="2"/>
          <w:sz w:val="32"/>
          <w:szCs w:val="32"/>
          <w:lang w:val="en-US" w:eastAsia="zh-CN"/>
        </w:rPr>
        <w:t>一般公共服务支出286.39万元，占100%。</w:t>
      </w:r>
    </w:p>
    <w:p>
      <w:pPr>
        <w:keepNext w:val="0"/>
        <w:keepLines w:val="0"/>
        <w:pageBreakBefore w:val="0"/>
        <w:widowControl/>
        <w:kinsoku/>
        <w:wordWrap/>
        <w:overflowPunct/>
        <w:topLinePunct w:val="0"/>
        <w:autoSpaceDE/>
        <w:autoSpaceDN/>
        <w:bidi w:val="0"/>
        <w:adjustRightInd w:val="0"/>
        <w:snapToGrid w:val="0"/>
        <w:spacing w:line="560" w:lineRule="exact"/>
        <w:ind w:firstLine="480" w:firstLineChars="150"/>
        <w:textAlignment w:val="auto"/>
        <w:rPr>
          <w:rFonts w:hint="eastAsia" w:ascii="楷体" w:hAnsi="楷体" w:eastAsia="楷体"/>
          <w:sz w:val="32"/>
          <w:szCs w:val="32"/>
        </w:rPr>
      </w:pPr>
      <w:r>
        <w:rPr>
          <w:rFonts w:hint="eastAsia" w:ascii="楷体" w:hAnsi="楷体" w:eastAsia="楷体"/>
          <w:sz w:val="32"/>
          <w:szCs w:val="32"/>
        </w:rPr>
        <w:t>（三）一般公共预算当年拨款具体使用情况。</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eastAsia="仿宋_GB2312" w:hAnsiTheme="minorHAnsi"/>
          <w:kern w:val="2"/>
          <w:sz w:val="32"/>
          <w:szCs w:val="32"/>
          <w:lang w:val="en-US" w:eastAsia="zh-CN"/>
        </w:rPr>
      </w:pPr>
      <w:r>
        <w:rPr>
          <w:rFonts w:hint="eastAsia" w:ascii="仿宋_GB2312" w:eastAsia="仿宋_GB2312" w:hAnsiTheme="minorHAnsi"/>
          <w:kern w:val="2"/>
          <w:sz w:val="32"/>
          <w:szCs w:val="32"/>
          <w:lang w:val="en-US" w:eastAsia="zh-CN"/>
        </w:rPr>
        <w:t>1.一般公共服务支出（类）财政事务（款）行政运行（项）2021年预算数为286.39万元，比2020年执行数增加4.4万元，下降1.56%。主要是本单位今年预算增加。</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eastAsia" w:ascii="黑体" w:hAnsi="黑体" w:eastAsia="黑体"/>
          <w:sz w:val="32"/>
          <w:szCs w:val="32"/>
        </w:rPr>
      </w:pPr>
      <w:r>
        <w:rPr>
          <w:rFonts w:hint="eastAsia" w:ascii="黑体" w:hAnsi="黑体" w:eastAsia="黑体"/>
          <w:sz w:val="32"/>
          <w:szCs w:val="32"/>
        </w:rPr>
        <w:t>六、2021年一般公共预算基本支出表的说明</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eastAsia="仿宋_GB2312" w:hAnsiTheme="minorHAnsi"/>
          <w:kern w:val="2"/>
          <w:sz w:val="32"/>
          <w:szCs w:val="32"/>
          <w:lang w:val="en-US" w:eastAsia="zh-CN"/>
        </w:rPr>
      </w:pPr>
      <w:r>
        <w:rPr>
          <w:rFonts w:hint="eastAsia" w:ascii="仿宋_GB2312" w:eastAsia="仿宋_GB2312" w:hAnsiTheme="minorHAnsi"/>
          <w:kern w:val="2"/>
          <w:sz w:val="32"/>
          <w:szCs w:val="32"/>
          <w:lang w:val="en-US" w:eastAsia="zh-CN"/>
        </w:rPr>
        <w:t>2021年一般公共预算基本支出286.39万元，其中：</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eastAsia="仿宋_GB2312" w:hAnsiTheme="minorHAnsi"/>
          <w:kern w:val="2"/>
          <w:sz w:val="32"/>
          <w:szCs w:val="32"/>
          <w:lang w:val="en-US" w:eastAsia="zh-CN"/>
        </w:rPr>
      </w:pPr>
      <w:r>
        <w:rPr>
          <w:rFonts w:hint="eastAsia" w:ascii="仿宋_GB2312" w:eastAsia="仿宋_GB2312" w:hAnsiTheme="minorHAnsi"/>
          <w:kern w:val="2"/>
          <w:sz w:val="32"/>
          <w:szCs w:val="32"/>
          <w:lang w:val="en-US" w:eastAsia="zh-CN"/>
        </w:rPr>
        <w:t>人员经费220.21万元，主要包括（以下内容根据部门具体情况进行填列）：工资性支出（基本工资、津贴补贴、奖金）、机关事业单位养老保险缴费、城镇职工基本医疗保险缴费、公务员医疗补助、其他社会保险缴费（失业保险、工伤保险）、其他工资福利支出（个人取暖费、独生子女费、煤油补贴、加班补助、休假探亲费、乡镇教职工生活补助、特级教师津贴、其他工资福利支出）、职业年金缴费、住房公积金、医疗费、对个人和家庭的补助（抚恤金、生活补助、救济费、医疗费补助、助学金、其他对个人和家庭的补助）、其他对个人和家庭的补助（学生助学金、三包经费、学生奖学金、免费教育经费等、营养改善计划试点资金、班主任津贴、西部计划志愿者生活补助）。</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eastAsia="仿宋_GB2312" w:hAnsiTheme="minorHAnsi"/>
          <w:kern w:val="2"/>
          <w:sz w:val="32"/>
          <w:szCs w:val="32"/>
          <w:lang w:val="en-US" w:eastAsia="zh-CN"/>
        </w:rPr>
      </w:pPr>
      <w:r>
        <w:rPr>
          <w:rFonts w:hint="eastAsia" w:ascii="仿宋_GB2312" w:eastAsia="仿宋_GB2312" w:hAnsiTheme="minorHAnsi"/>
          <w:kern w:val="2"/>
          <w:sz w:val="32"/>
          <w:szCs w:val="32"/>
          <w:lang w:val="en-US" w:eastAsia="zh-CN"/>
        </w:rPr>
        <w:t>公用经费21.65万元，主要包括（以下内容根据部门具体情况进行填列）：商品和服务支出（办公费、印刷费、咨询费、手续费、水费、电费、邮电费、取暖费、物业管理费、差旅费、因公出国(境)费用、维修(护)费、租赁费、会议费、培训费、公务接待费、专用材料费、被装购置费、专用燃料费、劳务费、委托业务费、福利费、公务用车运行维护费、其他交通费用、税金及附加费用、公务通讯补贴、离退休人员公用经费、电梯运行维护费、食堂补助、邮寄费、其他商品和服务支出）、工会经费。</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firstLine="640" w:firstLineChars="200"/>
        <w:textAlignment w:val="auto"/>
        <w:rPr>
          <w:rFonts w:hint="eastAsia" w:ascii="黑体" w:hAnsi="黑体" w:eastAsia="黑体"/>
          <w:sz w:val="32"/>
          <w:szCs w:val="32"/>
        </w:rPr>
      </w:pPr>
      <w:r>
        <w:rPr>
          <w:rFonts w:hint="eastAsia" w:ascii="黑体" w:hAnsi="黑体" w:eastAsia="黑体"/>
          <w:sz w:val="32"/>
          <w:szCs w:val="32"/>
        </w:rPr>
        <w:t>七、2021年度一般公共预算“三公”经费预算情况说明</w:t>
      </w:r>
    </w:p>
    <w:p>
      <w:pPr>
        <w:ind w:firstLine="640" w:firstLineChars="200"/>
        <w:jc w:val="both"/>
        <w:rPr>
          <w:rFonts w:hint="eastAsia" w:ascii="仿宋_GB2312" w:hAnsi="仿宋" w:eastAsia="仿宋_GB2312"/>
          <w:sz w:val="32"/>
          <w:szCs w:val="32"/>
          <w:lang w:eastAsia="zh-CN"/>
        </w:rPr>
      </w:pPr>
      <w:r>
        <w:rPr>
          <w:rFonts w:hint="eastAsia" w:ascii="仿宋_GB2312" w:eastAsia="仿宋_GB2312" w:hAnsiTheme="minorHAnsi"/>
          <w:kern w:val="2"/>
          <w:sz w:val="32"/>
          <w:szCs w:val="32"/>
          <w:lang w:val="en-US" w:eastAsia="zh-CN"/>
        </w:rPr>
        <w:t>2021年“三公”经费预算数为3.28万元，2021年“三公”经费预算比2020年减少0.41万元，降低11.11%。</w:t>
      </w:r>
    </w:p>
    <w:p>
      <w:pPr>
        <w:ind w:firstLine="608" w:firstLineChars="200"/>
        <w:jc w:val="both"/>
        <w:rPr>
          <w:rFonts w:hint="eastAsia" w:ascii="仿宋_GB2312" w:hAnsi="仿宋" w:eastAsia="仿宋_GB2312"/>
          <w:sz w:val="32"/>
          <w:szCs w:val="32"/>
          <w:lang w:eastAsia="zh-CN"/>
        </w:rPr>
      </w:pPr>
      <w:r>
        <w:rPr>
          <w:rFonts w:hint="eastAsia" w:ascii="楷体_GB2312" w:hAnsi="楷体_GB2312" w:eastAsia="楷体_GB2312" w:cs="楷体_GB2312"/>
          <w:snapToGrid w:val="0"/>
          <w:w w:val="95"/>
          <w:kern w:val="2"/>
          <w:sz w:val="32"/>
          <w:szCs w:val="32"/>
          <w:highlight w:val="none"/>
          <w:lang w:val="en-US" w:eastAsia="zh-CN"/>
        </w:rPr>
        <w:t>1.因公出国（境）费用。</w:t>
      </w:r>
      <w:r>
        <w:rPr>
          <w:rFonts w:hint="eastAsia" w:ascii="仿宋_GB2312" w:hAnsi="仿宋" w:eastAsia="仿宋_GB2312"/>
          <w:sz w:val="32"/>
          <w:szCs w:val="32"/>
          <w:lang w:eastAsia="zh-CN"/>
        </w:rPr>
        <w:t>202</w:t>
      </w:r>
      <w:r>
        <w:rPr>
          <w:rFonts w:hint="eastAsia" w:ascii="仿宋_GB2312" w:hAnsi="仿宋" w:eastAsia="仿宋_GB2312"/>
          <w:sz w:val="32"/>
          <w:szCs w:val="32"/>
          <w:lang w:val="en-US" w:eastAsia="zh-CN"/>
        </w:rPr>
        <w:t>1</w:t>
      </w:r>
      <w:r>
        <w:rPr>
          <w:rFonts w:hint="eastAsia" w:ascii="仿宋_GB2312" w:hAnsi="仿宋" w:eastAsia="仿宋_GB2312"/>
          <w:sz w:val="32"/>
          <w:szCs w:val="32"/>
          <w:lang w:eastAsia="zh-CN"/>
        </w:rPr>
        <w:t>年预算数为0万元。为进一步规范因公出国（境）费用管理，我县因公出国（境）费用按照零基预算原则，因此因公出国（境）费用预算为零。</w:t>
      </w:r>
    </w:p>
    <w:p>
      <w:pPr>
        <w:ind w:firstLine="608" w:firstLineChars="200"/>
        <w:jc w:val="both"/>
        <w:rPr>
          <w:rFonts w:hint="eastAsia" w:ascii="仿宋_GB2312" w:hAnsi="仿宋" w:eastAsia="仿宋_GB2312"/>
          <w:sz w:val="32"/>
          <w:szCs w:val="32"/>
          <w:lang w:eastAsia="zh-CN"/>
        </w:rPr>
      </w:pPr>
      <w:r>
        <w:rPr>
          <w:rFonts w:hint="eastAsia" w:ascii="楷体_GB2312" w:hAnsi="楷体_GB2312" w:eastAsia="楷体_GB2312" w:cs="楷体_GB2312"/>
          <w:snapToGrid w:val="0"/>
          <w:w w:val="95"/>
          <w:kern w:val="2"/>
          <w:sz w:val="32"/>
          <w:szCs w:val="32"/>
          <w:highlight w:val="none"/>
          <w:lang w:val="en-US" w:eastAsia="zh-CN"/>
        </w:rPr>
        <w:t>2.公务用车购置及运行费。</w:t>
      </w:r>
      <w:r>
        <w:rPr>
          <w:rFonts w:hint="eastAsia" w:ascii="仿宋_GB2312" w:hAnsi="仿宋" w:eastAsia="仿宋_GB2312"/>
          <w:sz w:val="32"/>
          <w:szCs w:val="32"/>
          <w:lang w:eastAsia="zh-CN"/>
        </w:rPr>
        <w:t>202</w:t>
      </w:r>
      <w:r>
        <w:rPr>
          <w:rFonts w:hint="eastAsia" w:ascii="仿宋_GB2312" w:hAnsi="仿宋" w:eastAsia="仿宋_GB2312"/>
          <w:sz w:val="32"/>
          <w:szCs w:val="32"/>
          <w:lang w:val="en-US" w:eastAsia="zh-CN"/>
        </w:rPr>
        <w:t>1</w:t>
      </w:r>
      <w:r>
        <w:rPr>
          <w:rFonts w:hint="eastAsia" w:ascii="仿宋_GB2312" w:hAnsi="仿宋" w:eastAsia="仿宋_GB2312"/>
          <w:sz w:val="32"/>
          <w:szCs w:val="32"/>
          <w:lang w:eastAsia="zh-CN"/>
        </w:rPr>
        <w:t>年预算数</w:t>
      </w:r>
      <w:r>
        <w:rPr>
          <w:rFonts w:hint="eastAsia" w:ascii="仿宋_GB2312" w:hAnsi="仿宋" w:eastAsia="仿宋_GB2312"/>
          <w:sz w:val="32"/>
          <w:szCs w:val="32"/>
          <w:lang w:val="en-US" w:eastAsia="zh-CN"/>
        </w:rPr>
        <w:t>1.92</w:t>
      </w:r>
      <w:r>
        <w:rPr>
          <w:rFonts w:hint="eastAsia" w:ascii="仿宋_GB2312" w:hAnsi="仿宋" w:eastAsia="仿宋_GB2312"/>
          <w:sz w:val="32"/>
          <w:szCs w:val="32"/>
          <w:lang w:eastAsia="zh-CN"/>
        </w:rPr>
        <w:t>万元。其中：</w:t>
      </w:r>
    </w:p>
    <w:p>
      <w:pPr>
        <w:ind w:firstLine="640" w:firstLineChars="200"/>
        <w:jc w:val="both"/>
        <w:rPr>
          <w:rFonts w:hint="eastAsia" w:ascii="仿宋_GB2312" w:hAnsi="仿宋" w:eastAsia="仿宋_GB2312"/>
          <w:sz w:val="32"/>
          <w:szCs w:val="32"/>
          <w:lang w:eastAsia="zh-CN"/>
        </w:rPr>
      </w:pPr>
      <w:r>
        <w:rPr>
          <w:rFonts w:hint="eastAsia" w:ascii="仿宋_GB2312" w:hAnsi="仿宋" w:eastAsia="仿宋_GB2312"/>
          <w:sz w:val="32"/>
          <w:szCs w:val="32"/>
          <w:lang w:eastAsia="zh-CN"/>
        </w:rPr>
        <w:t>（1）公务用车购置费。202</w:t>
      </w:r>
      <w:r>
        <w:rPr>
          <w:rFonts w:hint="eastAsia" w:ascii="仿宋_GB2312" w:hAnsi="仿宋" w:eastAsia="仿宋_GB2312"/>
          <w:sz w:val="32"/>
          <w:szCs w:val="32"/>
          <w:lang w:val="en-US" w:eastAsia="zh-CN"/>
        </w:rPr>
        <w:t>1</w:t>
      </w:r>
      <w:r>
        <w:rPr>
          <w:rFonts w:hint="eastAsia" w:ascii="仿宋_GB2312" w:hAnsi="仿宋" w:eastAsia="仿宋_GB2312"/>
          <w:sz w:val="32"/>
          <w:szCs w:val="32"/>
          <w:lang w:eastAsia="zh-CN"/>
        </w:rPr>
        <w:t>年公务用车购置费预算数为</w:t>
      </w:r>
      <w:r>
        <w:rPr>
          <w:rFonts w:hint="eastAsia" w:ascii="仿宋_GB2312" w:hAnsi="仿宋" w:eastAsia="仿宋_GB2312"/>
          <w:sz w:val="32"/>
          <w:szCs w:val="32"/>
          <w:lang w:val="en-US" w:eastAsia="zh-CN"/>
        </w:rPr>
        <w:t>0</w:t>
      </w:r>
      <w:r>
        <w:rPr>
          <w:rFonts w:hint="eastAsia" w:ascii="仿宋_GB2312" w:hAnsi="仿宋" w:eastAsia="仿宋_GB2312"/>
          <w:sz w:val="32"/>
          <w:szCs w:val="32"/>
          <w:lang w:eastAsia="zh-CN"/>
        </w:rPr>
        <w:t>万元（公务用车购置严格按照我县车辆管理及厉行节约有关要求实行总额控制），与202</w:t>
      </w:r>
      <w:r>
        <w:rPr>
          <w:rFonts w:hint="eastAsia" w:ascii="仿宋_GB2312" w:hAnsi="仿宋" w:eastAsia="仿宋_GB2312"/>
          <w:sz w:val="32"/>
          <w:szCs w:val="32"/>
          <w:lang w:val="en-US" w:eastAsia="zh-CN"/>
        </w:rPr>
        <w:t>0</w:t>
      </w:r>
      <w:r>
        <w:rPr>
          <w:rFonts w:hint="eastAsia" w:ascii="仿宋_GB2312" w:hAnsi="仿宋" w:eastAsia="仿宋_GB2312"/>
          <w:sz w:val="32"/>
          <w:szCs w:val="32"/>
          <w:lang w:eastAsia="zh-CN"/>
        </w:rPr>
        <w:t>年预算数持平。</w:t>
      </w:r>
    </w:p>
    <w:p>
      <w:pPr>
        <w:ind w:firstLine="640" w:firstLineChars="200"/>
        <w:jc w:val="both"/>
        <w:rPr>
          <w:rFonts w:hint="eastAsia" w:ascii="仿宋_GB2312" w:hAnsi="仿宋" w:eastAsia="仿宋_GB2312"/>
          <w:sz w:val="32"/>
          <w:szCs w:val="32"/>
          <w:lang w:eastAsia="zh-CN"/>
        </w:rPr>
      </w:pPr>
      <w:r>
        <w:rPr>
          <w:rFonts w:hint="eastAsia" w:ascii="仿宋_GB2312" w:hAnsi="仿宋" w:eastAsia="仿宋_GB2312"/>
          <w:sz w:val="32"/>
          <w:szCs w:val="32"/>
          <w:lang w:eastAsia="zh-CN"/>
        </w:rPr>
        <w:t>（2）公务用车运行费。202</w:t>
      </w:r>
      <w:r>
        <w:rPr>
          <w:rFonts w:hint="eastAsia" w:ascii="仿宋_GB2312" w:hAnsi="仿宋" w:eastAsia="仿宋_GB2312"/>
          <w:sz w:val="32"/>
          <w:szCs w:val="32"/>
          <w:lang w:val="en-US" w:eastAsia="zh-CN"/>
        </w:rPr>
        <w:t>1</w:t>
      </w:r>
      <w:r>
        <w:rPr>
          <w:rFonts w:hint="eastAsia" w:ascii="仿宋_GB2312" w:hAnsi="仿宋" w:eastAsia="仿宋_GB2312"/>
          <w:sz w:val="32"/>
          <w:szCs w:val="32"/>
          <w:lang w:eastAsia="zh-CN"/>
        </w:rPr>
        <w:t>年预算数</w:t>
      </w:r>
      <w:r>
        <w:rPr>
          <w:rFonts w:hint="eastAsia" w:ascii="仿宋_GB2312" w:hAnsi="仿宋" w:eastAsia="仿宋_GB2312"/>
          <w:sz w:val="32"/>
          <w:szCs w:val="32"/>
          <w:lang w:val="en-US" w:eastAsia="zh-CN"/>
        </w:rPr>
        <w:t>1.92</w:t>
      </w:r>
      <w:r>
        <w:rPr>
          <w:rFonts w:hint="eastAsia" w:ascii="仿宋_GB2312" w:hAnsi="仿宋" w:eastAsia="仿宋_GB2312"/>
          <w:sz w:val="32"/>
          <w:szCs w:val="32"/>
          <w:lang w:eastAsia="zh-CN"/>
        </w:rPr>
        <w:t>万元。较202</w:t>
      </w:r>
      <w:r>
        <w:rPr>
          <w:rFonts w:hint="eastAsia" w:ascii="仿宋_GB2312" w:hAnsi="仿宋" w:eastAsia="仿宋_GB2312"/>
          <w:sz w:val="32"/>
          <w:szCs w:val="32"/>
          <w:lang w:val="en-US" w:eastAsia="zh-CN"/>
        </w:rPr>
        <w:t>0</w:t>
      </w:r>
      <w:r>
        <w:rPr>
          <w:rFonts w:hint="eastAsia" w:ascii="仿宋_GB2312" w:hAnsi="仿宋" w:eastAsia="仿宋_GB2312"/>
          <w:sz w:val="32"/>
          <w:szCs w:val="32"/>
          <w:lang w:eastAsia="zh-CN"/>
        </w:rPr>
        <w:t>年降低</w:t>
      </w:r>
      <w:r>
        <w:rPr>
          <w:rFonts w:hint="eastAsia" w:ascii="仿宋_GB2312" w:hAnsi="仿宋" w:eastAsia="仿宋_GB2312"/>
          <w:sz w:val="32"/>
          <w:szCs w:val="32"/>
          <w:lang w:val="en-US" w:eastAsia="zh-CN"/>
        </w:rPr>
        <w:t>11.11</w:t>
      </w:r>
      <w:r>
        <w:rPr>
          <w:rFonts w:hint="eastAsia" w:ascii="仿宋_GB2312" w:hAnsi="仿宋" w:eastAsia="仿宋_GB2312"/>
          <w:sz w:val="32"/>
          <w:szCs w:val="32"/>
          <w:lang w:eastAsia="zh-CN"/>
        </w:rPr>
        <w:t>%，主要原因我单位严格控制不必要的公务用车出行。单位公务用车实有量0辆，保有量0辆。</w:t>
      </w:r>
    </w:p>
    <w:p>
      <w:pPr>
        <w:ind w:firstLine="640" w:firstLineChars="200"/>
        <w:jc w:val="both"/>
        <w:rPr>
          <w:rFonts w:hint="eastAsia" w:ascii="仿宋_GB2312" w:hAnsi="仿宋" w:eastAsia="仿宋_GB2312"/>
          <w:sz w:val="32"/>
          <w:szCs w:val="32"/>
          <w:lang w:eastAsia="zh-CN"/>
        </w:rPr>
      </w:pPr>
      <w:r>
        <w:rPr>
          <w:rFonts w:hint="eastAsia" w:ascii="仿宋_GB2312" w:hAnsi="仿宋" w:eastAsia="仿宋_GB2312"/>
          <w:sz w:val="32"/>
          <w:szCs w:val="32"/>
          <w:lang w:eastAsia="zh-CN"/>
        </w:rPr>
        <w:t>3</w:t>
      </w:r>
      <w:r>
        <w:rPr>
          <w:rFonts w:hint="eastAsia" w:ascii="楷体_GB2312" w:hAnsi="楷体_GB2312" w:eastAsia="楷体_GB2312" w:cs="楷体_GB2312"/>
          <w:snapToGrid w:val="0"/>
          <w:w w:val="95"/>
          <w:kern w:val="2"/>
          <w:sz w:val="32"/>
          <w:szCs w:val="32"/>
          <w:highlight w:val="none"/>
          <w:lang w:val="en-US" w:eastAsia="zh-CN"/>
        </w:rPr>
        <w:t>.公务接待费。</w:t>
      </w:r>
      <w:r>
        <w:rPr>
          <w:rFonts w:hint="eastAsia" w:ascii="仿宋_GB2312" w:hAnsi="仿宋" w:eastAsia="仿宋_GB2312"/>
          <w:sz w:val="32"/>
          <w:szCs w:val="32"/>
          <w:lang w:eastAsia="zh-CN"/>
        </w:rPr>
        <w:t>202</w:t>
      </w:r>
      <w:r>
        <w:rPr>
          <w:rFonts w:hint="eastAsia" w:ascii="仿宋_GB2312" w:hAnsi="仿宋" w:eastAsia="仿宋_GB2312"/>
          <w:sz w:val="32"/>
          <w:szCs w:val="32"/>
          <w:lang w:val="en-US" w:eastAsia="zh-CN"/>
        </w:rPr>
        <w:t>1</w:t>
      </w:r>
      <w:r>
        <w:rPr>
          <w:rFonts w:hint="eastAsia" w:ascii="仿宋_GB2312" w:hAnsi="仿宋" w:eastAsia="仿宋_GB2312"/>
          <w:sz w:val="32"/>
          <w:szCs w:val="32"/>
          <w:lang w:eastAsia="zh-CN"/>
        </w:rPr>
        <w:t>年预算数</w:t>
      </w:r>
      <w:r>
        <w:rPr>
          <w:rFonts w:hint="eastAsia" w:ascii="仿宋_GB2312" w:hAnsi="仿宋" w:eastAsia="仿宋_GB2312"/>
          <w:sz w:val="32"/>
          <w:szCs w:val="32"/>
          <w:lang w:val="en-US" w:eastAsia="zh-CN"/>
        </w:rPr>
        <w:t>1.36</w:t>
      </w:r>
      <w:r>
        <w:rPr>
          <w:rFonts w:hint="eastAsia" w:ascii="仿宋_GB2312" w:hAnsi="仿宋" w:eastAsia="仿宋_GB2312"/>
          <w:sz w:val="32"/>
          <w:szCs w:val="32"/>
          <w:lang w:eastAsia="zh-CN"/>
        </w:rPr>
        <w:t>万元。较202</w:t>
      </w:r>
      <w:r>
        <w:rPr>
          <w:rFonts w:hint="eastAsia" w:ascii="仿宋_GB2312" w:hAnsi="仿宋" w:eastAsia="仿宋_GB2312"/>
          <w:sz w:val="32"/>
          <w:szCs w:val="32"/>
          <w:lang w:val="en-US" w:eastAsia="zh-CN"/>
        </w:rPr>
        <w:t>0</w:t>
      </w:r>
      <w:r>
        <w:rPr>
          <w:rFonts w:hint="eastAsia" w:ascii="仿宋_GB2312" w:hAnsi="仿宋" w:eastAsia="仿宋_GB2312"/>
          <w:sz w:val="32"/>
          <w:szCs w:val="32"/>
          <w:lang w:eastAsia="zh-CN"/>
        </w:rPr>
        <w:t>年度预算减少</w:t>
      </w:r>
      <w:r>
        <w:rPr>
          <w:rFonts w:hint="eastAsia" w:ascii="仿宋_GB2312" w:hAnsi="仿宋" w:eastAsia="仿宋_GB2312"/>
          <w:sz w:val="32"/>
          <w:szCs w:val="32"/>
          <w:lang w:val="en-US" w:eastAsia="zh-CN"/>
        </w:rPr>
        <w:t>0.17</w:t>
      </w:r>
      <w:r>
        <w:rPr>
          <w:rFonts w:hint="eastAsia" w:ascii="仿宋_GB2312" w:hAnsi="仿宋" w:eastAsia="仿宋_GB2312"/>
          <w:sz w:val="32"/>
          <w:szCs w:val="32"/>
          <w:lang w:eastAsia="zh-CN"/>
        </w:rPr>
        <w:t>万元，降低</w:t>
      </w:r>
      <w:r>
        <w:rPr>
          <w:rFonts w:hint="eastAsia" w:ascii="仿宋_GB2312" w:hAnsi="仿宋" w:eastAsia="仿宋_GB2312"/>
          <w:sz w:val="32"/>
          <w:szCs w:val="32"/>
          <w:lang w:val="en-US" w:eastAsia="zh-CN"/>
        </w:rPr>
        <w:t>11.11</w:t>
      </w:r>
      <w:r>
        <w:rPr>
          <w:rFonts w:hint="eastAsia" w:ascii="仿宋_GB2312" w:hAnsi="仿宋" w:eastAsia="仿宋_GB2312"/>
          <w:sz w:val="32"/>
          <w:szCs w:val="32"/>
          <w:lang w:eastAsia="zh-CN"/>
        </w:rPr>
        <w:t>%。原因是我部门将按照公务接待相关要求，厉行勤俭节约严格控制不必要的公务接待费支出。</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黑体" w:hAnsi="黑体" w:eastAsia="黑体"/>
          <w:sz w:val="32"/>
          <w:szCs w:val="32"/>
        </w:rPr>
      </w:pPr>
      <w:r>
        <w:rPr>
          <w:rFonts w:hint="eastAsia" w:ascii="黑体" w:hAnsi="黑体" w:eastAsia="黑体"/>
          <w:sz w:val="32"/>
          <w:szCs w:val="32"/>
        </w:rPr>
        <w:t>八、2021年度政府性基金预算支出情况说明</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 w:eastAsia="仿宋_GB2312"/>
          <w:sz w:val="32"/>
          <w:szCs w:val="32"/>
          <w:lang w:eastAsia="zh-CN"/>
        </w:rPr>
      </w:pPr>
      <w:r>
        <w:rPr>
          <w:rFonts w:hint="eastAsia" w:ascii="仿宋_GB2312" w:hAnsi="仿宋" w:eastAsia="仿宋_GB2312"/>
          <w:sz w:val="32"/>
          <w:szCs w:val="32"/>
          <w:lang w:val="en-US" w:eastAsia="zh-CN"/>
        </w:rPr>
        <w:t>2021年政府性基金预算当年拨款0万元,与2020年执行数持平，我部门2021年度没有使用政府性基金安排的支出。</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sz w:val="32"/>
          <w:szCs w:val="32"/>
        </w:rPr>
      </w:pPr>
      <w:r>
        <w:rPr>
          <w:rFonts w:hint="eastAsia" w:ascii="黑体" w:hAnsi="黑体" w:eastAsia="黑体"/>
          <w:sz w:val="32"/>
          <w:szCs w:val="32"/>
        </w:rPr>
        <w:t>九、其他重要事项的情况说明</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ascii="楷体" w:hAnsi="楷体" w:eastAsia="楷体"/>
          <w:sz w:val="32"/>
          <w:szCs w:val="32"/>
        </w:rPr>
      </w:pPr>
      <w:r>
        <w:rPr>
          <w:rFonts w:hint="eastAsia" w:ascii="楷体" w:hAnsi="楷体" w:eastAsia="楷体"/>
          <w:sz w:val="32"/>
          <w:szCs w:val="32"/>
        </w:rPr>
        <w:t>（一）机关运行经费安排使用情况说明。</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2021年部门县级察隅县人大办1家行政单位的机关运行经费财政拨款预算3.28万元，比2020年预算增加1.75万元，增长114.38%，主要原因是本单位今年人员有变动导致预算增加。</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eastAsia" w:ascii="楷体" w:hAnsi="楷体" w:eastAsia="楷体"/>
          <w:sz w:val="32"/>
          <w:szCs w:val="32"/>
        </w:rPr>
      </w:pPr>
      <w:r>
        <w:rPr>
          <w:rFonts w:hint="eastAsia" w:ascii="楷体" w:hAnsi="楷体" w:eastAsia="楷体"/>
          <w:sz w:val="32"/>
          <w:szCs w:val="32"/>
        </w:rPr>
        <w:t>（二）政府采购情况说明。</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2021年本部门及所属各预算单位政府采购预算总额万元，其中：政府采购货物预算0万元、政府采购工程预算0万元、政府采购服务预算0万元。</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eastAsia" w:ascii="楷体" w:hAnsi="楷体" w:eastAsia="楷体"/>
          <w:sz w:val="32"/>
          <w:szCs w:val="32"/>
        </w:rPr>
      </w:pPr>
      <w:r>
        <w:rPr>
          <w:rFonts w:hint="eastAsia" w:ascii="楷体" w:hAnsi="楷体" w:eastAsia="楷体"/>
          <w:sz w:val="32"/>
          <w:szCs w:val="32"/>
        </w:rPr>
        <w:t>（三）国有资产占有使用情况说明。</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截至2021年12月底，本部门及所属各预算单位共有车辆0辆。其中，级领导干部用车（含在职和离退休部级干部用车）0辆、机要通信用车0辆、应急保障用车0辆、执法执勤用车0辆、特种专业技术用车0辆、其他用车0辆。</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eastAsia" w:ascii="楷体" w:hAnsi="楷体" w:eastAsia="楷体"/>
          <w:sz w:val="32"/>
          <w:szCs w:val="32"/>
        </w:rPr>
      </w:pPr>
      <w:r>
        <w:rPr>
          <w:rFonts w:hint="eastAsia" w:ascii="楷体" w:hAnsi="楷体" w:eastAsia="楷体"/>
          <w:sz w:val="32"/>
          <w:szCs w:val="32"/>
        </w:rPr>
        <w:t>（四）2021年预算绩效目标管理情况。</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2021年实现财政支出绩效目标管理全覆盖，实行绩效目标管理0个，资金0万元，其中：中央转移支付资金0万元，地方资金0万元。重点项目实行绩效目标管理0个。</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eastAsia" w:ascii="楷体" w:hAnsi="楷体" w:eastAsia="楷体"/>
          <w:sz w:val="32"/>
          <w:szCs w:val="32"/>
        </w:rPr>
      </w:pPr>
      <w:r>
        <w:rPr>
          <w:rFonts w:hint="eastAsia" w:ascii="楷体" w:hAnsi="楷体" w:eastAsia="楷体"/>
          <w:sz w:val="32"/>
          <w:szCs w:val="32"/>
        </w:rPr>
        <w:t>（五）扶贫资金管理使用情况及绩效目标情况说明。</w:t>
      </w:r>
    </w:p>
    <w:p>
      <w:pPr>
        <w:tabs>
          <w:tab w:val="left" w:pos="1399"/>
        </w:tabs>
        <w:rPr>
          <w:rFonts w:ascii="楷体" w:hAnsi="楷体" w:eastAsia="楷体"/>
          <w:sz w:val="32"/>
          <w:szCs w:val="32"/>
        </w:rPr>
      </w:pPr>
      <w:r>
        <w:rPr>
          <w:rFonts w:ascii="楷体" w:hAnsi="楷体" w:eastAsia="楷体"/>
          <w:sz w:val="32"/>
          <w:szCs w:val="32"/>
        </w:rPr>
        <w:tab/>
      </w:r>
      <w:r>
        <w:rPr>
          <w:rFonts w:hint="eastAsia" w:ascii="楷体" w:hAnsi="楷体" w:eastAsia="楷体"/>
          <w:sz w:val="32"/>
          <w:szCs w:val="32"/>
        </w:rPr>
        <w:t>无</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eastAsia" w:ascii="楷体" w:hAnsi="楷体" w:eastAsia="楷体"/>
          <w:sz w:val="32"/>
          <w:szCs w:val="32"/>
        </w:rPr>
      </w:pPr>
      <w:r>
        <w:rPr>
          <w:rFonts w:hint="eastAsia" w:ascii="楷体" w:hAnsi="楷体" w:eastAsia="楷体"/>
          <w:sz w:val="32"/>
          <w:szCs w:val="32"/>
        </w:rPr>
        <w:t>（六）政府债务情况。</w:t>
      </w:r>
    </w:p>
    <w:p>
      <w:pPr>
        <w:tabs>
          <w:tab w:val="left" w:pos="1399"/>
        </w:tabs>
        <w:rPr>
          <w:rFonts w:ascii="楷体" w:hAnsi="楷体" w:eastAsia="楷体"/>
          <w:sz w:val="32"/>
          <w:szCs w:val="32"/>
        </w:rPr>
      </w:pPr>
      <w:r>
        <w:rPr>
          <w:rFonts w:ascii="仿宋" w:hAnsi="仿宋" w:eastAsia="仿宋"/>
          <w:sz w:val="32"/>
          <w:szCs w:val="32"/>
        </w:rPr>
        <w:tab/>
      </w:r>
      <w:r>
        <w:rPr>
          <w:rFonts w:hint="eastAsia" w:ascii="楷体" w:hAnsi="楷体" w:eastAsia="楷体"/>
          <w:sz w:val="32"/>
          <w:szCs w:val="32"/>
        </w:rPr>
        <w:t>无</w:t>
      </w:r>
    </w:p>
    <w:p>
      <w:pPr>
        <w:tabs>
          <w:tab w:val="left" w:pos="1481"/>
        </w:tabs>
        <w:rPr>
          <w:rFonts w:ascii="仿宋" w:hAnsi="仿宋" w:eastAsia="仿宋"/>
          <w:sz w:val="32"/>
          <w:szCs w:val="32"/>
        </w:rPr>
      </w:pPr>
    </w:p>
    <w:p>
      <w:pPr>
        <w:spacing w:line="560" w:lineRule="exact"/>
        <w:rPr>
          <w:rFonts w:ascii="黑体" w:hAnsi="黑体" w:eastAsia="黑体"/>
          <w:b/>
          <w:snapToGrid w:val="0"/>
          <w:w w:val="95"/>
          <w:sz w:val="44"/>
          <w:szCs w:val="44"/>
        </w:rPr>
      </w:pPr>
    </w:p>
    <w:p>
      <w:pPr>
        <w:spacing w:line="560" w:lineRule="exact"/>
        <w:jc w:val="both"/>
        <w:rPr>
          <w:rFonts w:ascii="黑体" w:hAnsi="黑体" w:eastAsia="黑体"/>
          <w:b/>
          <w:snapToGrid w:val="0"/>
          <w:w w:val="95"/>
          <w:sz w:val="44"/>
          <w:szCs w:val="44"/>
        </w:rPr>
      </w:pPr>
    </w:p>
    <w:p>
      <w:pPr>
        <w:rPr>
          <w:rFonts w:hint="eastAsia" w:ascii="方正小标宋简体" w:hAnsi="方正小标宋简体" w:eastAsia="方正小标宋简体" w:cs="方正小标宋简体"/>
          <w:kern w:val="2"/>
          <w:sz w:val="44"/>
          <w:szCs w:val="44"/>
        </w:rPr>
      </w:pPr>
      <w:r>
        <w:rPr>
          <w:rFonts w:hint="eastAsia" w:ascii="方正小标宋简体" w:hAnsi="方正小标宋简体" w:eastAsia="方正小标宋简体" w:cs="方正小标宋简体"/>
          <w:kern w:val="2"/>
          <w:sz w:val="44"/>
          <w:szCs w:val="44"/>
        </w:rPr>
        <w:br w:type="page"/>
      </w:r>
    </w:p>
    <w:p>
      <w:pPr>
        <w:spacing w:line="560" w:lineRule="exact"/>
        <w:jc w:val="center"/>
        <w:rPr>
          <w:rFonts w:hint="eastAsia" w:ascii="方正小标宋简体" w:hAnsi="方正小标宋简体" w:eastAsia="方正小标宋简体" w:cs="方正小标宋简体"/>
          <w:kern w:val="2"/>
          <w:sz w:val="44"/>
          <w:szCs w:val="44"/>
        </w:rPr>
      </w:pPr>
      <w:r>
        <w:rPr>
          <w:rFonts w:hint="eastAsia" w:ascii="方正小标宋简体" w:hAnsi="方正小标宋简体" w:eastAsia="方正小标宋简体" w:cs="方正小标宋简体"/>
          <w:kern w:val="2"/>
          <w:sz w:val="44"/>
          <w:szCs w:val="44"/>
        </w:rPr>
        <w:t>第四部分 名词解释</w:t>
      </w:r>
    </w:p>
    <w:p>
      <w:pPr>
        <w:keepNext w:val="0"/>
        <w:keepLines w:val="0"/>
        <w:pageBreakBefore w:val="0"/>
        <w:widowControl/>
        <w:numPr>
          <w:ilvl w:val="0"/>
          <w:numId w:val="2"/>
        </w:numPr>
        <w:kinsoku/>
        <w:wordWrap/>
        <w:overflowPunct/>
        <w:topLinePunct w:val="0"/>
        <w:autoSpaceDE/>
        <w:autoSpaceDN/>
        <w:bidi w:val="0"/>
        <w:adjustRightInd w:val="0"/>
        <w:snapToGrid w:val="0"/>
        <w:spacing w:after="0" w:line="560" w:lineRule="exact"/>
        <w:ind w:left="0" w:leftChars="0" w:firstLine="611" w:firstLineChars="200"/>
        <w:jc w:val="both"/>
        <w:textAlignment w:val="auto"/>
        <w:rPr>
          <w:rFonts w:hint="eastAsia" w:ascii="仿宋_GB2312" w:hAnsi="黑体" w:eastAsia="仿宋_GB2312"/>
          <w:snapToGrid w:val="0"/>
          <w:w w:val="95"/>
          <w:sz w:val="32"/>
          <w:szCs w:val="32"/>
          <w:lang w:val="en-US" w:eastAsia="zh-CN"/>
        </w:rPr>
      </w:pPr>
      <w:r>
        <w:rPr>
          <w:rFonts w:hint="eastAsia" w:ascii="仿宋_GB2312" w:hAnsi="黑体" w:eastAsia="仿宋_GB2312"/>
          <w:b/>
          <w:bCs/>
          <w:snapToGrid w:val="0"/>
          <w:w w:val="95"/>
          <w:sz w:val="32"/>
          <w:szCs w:val="32"/>
          <w:lang w:val="en-US" w:eastAsia="zh-CN"/>
        </w:rPr>
        <w:t>财政拨款收入：</w:t>
      </w:r>
      <w:r>
        <w:rPr>
          <w:rFonts w:hint="eastAsia" w:ascii="仿宋_GB2312" w:hAnsi="黑体" w:eastAsia="仿宋_GB2312"/>
          <w:snapToGrid w:val="0"/>
          <w:w w:val="95"/>
          <w:sz w:val="32"/>
          <w:szCs w:val="32"/>
          <w:lang w:val="en-US" w:eastAsia="zh-CN"/>
        </w:rPr>
        <w:t>指自治区财政当年拨付的资金。</w:t>
      </w:r>
    </w:p>
    <w:p>
      <w:pPr>
        <w:keepNext w:val="0"/>
        <w:keepLines w:val="0"/>
        <w:pageBreakBefore w:val="0"/>
        <w:widowControl/>
        <w:numPr>
          <w:ilvl w:val="0"/>
          <w:numId w:val="2"/>
        </w:numPr>
        <w:kinsoku/>
        <w:wordWrap/>
        <w:overflowPunct/>
        <w:topLinePunct w:val="0"/>
        <w:autoSpaceDE/>
        <w:autoSpaceDN/>
        <w:bidi w:val="0"/>
        <w:adjustRightInd w:val="0"/>
        <w:snapToGrid w:val="0"/>
        <w:spacing w:after="0" w:line="560" w:lineRule="exact"/>
        <w:ind w:left="0" w:leftChars="0" w:firstLine="611" w:firstLineChars="200"/>
        <w:jc w:val="both"/>
        <w:textAlignment w:val="auto"/>
        <w:rPr>
          <w:rFonts w:hint="eastAsia" w:ascii="仿宋_GB2312" w:hAnsi="黑体" w:eastAsia="仿宋_GB2312"/>
          <w:snapToGrid w:val="0"/>
          <w:w w:val="95"/>
          <w:sz w:val="32"/>
          <w:szCs w:val="32"/>
          <w:lang w:val="en-US" w:eastAsia="zh-CN"/>
        </w:rPr>
      </w:pPr>
      <w:r>
        <w:rPr>
          <w:rFonts w:hint="eastAsia" w:ascii="仿宋_GB2312" w:hAnsi="黑体" w:eastAsia="仿宋_GB2312"/>
          <w:b/>
          <w:bCs/>
          <w:snapToGrid w:val="0"/>
          <w:w w:val="95"/>
          <w:sz w:val="32"/>
          <w:szCs w:val="32"/>
          <w:lang w:val="en-US" w:eastAsia="zh-CN"/>
        </w:rPr>
        <w:t>行政运行：</w:t>
      </w:r>
      <w:r>
        <w:rPr>
          <w:rFonts w:hint="eastAsia" w:ascii="仿宋_GB2312" w:hAnsi="黑体" w:eastAsia="仿宋_GB2312"/>
          <w:snapToGrid w:val="0"/>
          <w:w w:val="95"/>
          <w:sz w:val="32"/>
          <w:szCs w:val="32"/>
          <w:lang w:val="en-US" w:eastAsia="zh-CN"/>
        </w:rPr>
        <w:t>反映行政单位（包括实行公务员管理的事业单位）的基本支出。</w:t>
      </w:r>
    </w:p>
    <w:p>
      <w:pPr>
        <w:keepNext w:val="0"/>
        <w:keepLines w:val="0"/>
        <w:pageBreakBefore w:val="0"/>
        <w:widowControl/>
        <w:numPr>
          <w:ilvl w:val="0"/>
          <w:numId w:val="2"/>
        </w:numPr>
        <w:kinsoku/>
        <w:wordWrap/>
        <w:overflowPunct/>
        <w:topLinePunct w:val="0"/>
        <w:autoSpaceDE/>
        <w:autoSpaceDN/>
        <w:bidi w:val="0"/>
        <w:adjustRightInd w:val="0"/>
        <w:snapToGrid w:val="0"/>
        <w:spacing w:after="0" w:line="560" w:lineRule="exact"/>
        <w:ind w:left="0" w:leftChars="0" w:firstLine="611" w:firstLineChars="200"/>
        <w:jc w:val="both"/>
        <w:textAlignment w:val="auto"/>
        <w:rPr>
          <w:rFonts w:hint="eastAsia" w:ascii="仿宋_GB2312" w:hAnsi="黑体" w:eastAsia="仿宋_GB2312"/>
          <w:snapToGrid w:val="0"/>
          <w:w w:val="95"/>
          <w:sz w:val="32"/>
          <w:szCs w:val="32"/>
          <w:lang w:val="en-US" w:eastAsia="zh-CN"/>
        </w:rPr>
      </w:pPr>
      <w:r>
        <w:rPr>
          <w:rFonts w:hint="eastAsia" w:ascii="仿宋_GB2312" w:hAnsi="黑体" w:eastAsia="仿宋_GB2312"/>
          <w:b/>
          <w:bCs/>
          <w:snapToGrid w:val="0"/>
          <w:w w:val="95"/>
          <w:sz w:val="32"/>
          <w:szCs w:val="32"/>
          <w:lang w:val="en-US" w:eastAsia="zh-CN"/>
        </w:rPr>
        <w:t>其他人大事务支出：</w:t>
      </w:r>
      <w:r>
        <w:rPr>
          <w:rFonts w:hint="eastAsia" w:ascii="仿宋_GB2312" w:hAnsi="黑体" w:eastAsia="仿宋_GB2312"/>
          <w:snapToGrid w:val="0"/>
          <w:w w:val="95"/>
          <w:sz w:val="32"/>
          <w:szCs w:val="32"/>
          <w:lang w:val="en-US" w:eastAsia="zh-CN"/>
        </w:rPr>
        <w:t>反映除上述项目以外其他人大事务支出。</w:t>
      </w:r>
    </w:p>
    <w:p>
      <w:pPr>
        <w:keepNext w:val="0"/>
        <w:keepLines w:val="0"/>
        <w:pageBreakBefore w:val="0"/>
        <w:widowControl/>
        <w:numPr>
          <w:ilvl w:val="0"/>
          <w:numId w:val="2"/>
        </w:numPr>
        <w:kinsoku/>
        <w:wordWrap/>
        <w:overflowPunct/>
        <w:topLinePunct w:val="0"/>
        <w:autoSpaceDE/>
        <w:autoSpaceDN/>
        <w:bidi w:val="0"/>
        <w:adjustRightInd w:val="0"/>
        <w:snapToGrid w:val="0"/>
        <w:spacing w:after="0" w:line="560" w:lineRule="exact"/>
        <w:ind w:left="0" w:leftChars="0" w:firstLine="611" w:firstLineChars="200"/>
        <w:jc w:val="both"/>
        <w:textAlignment w:val="auto"/>
        <w:rPr>
          <w:rFonts w:hint="eastAsia" w:ascii="仿宋_GB2312" w:hAnsi="黑体" w:eastAsia="仿宋_GB2312"/>
          <w:snapToGrid w:val="0"/>
          <w:w w:val="95"/>
          <w:sz w:val="32"/>
          <w:szCs w:val="32"/>
          <w:lang w:val="en-US" w:eastAsia="zh-CN"/>
        </w:rPr>
      </w:pPr>
      <w:r>
        <w:rPr>
          <w:rFonts w:hint="eastAsia" w:ascii="仿宋_GB2312" w:hAnsi="黑体" w:eastAsia="仿宋_GB2312"/>
          <w:b/>
          <w:bCs/>
          <w:snapToGrid w:val="0"/>
          <w:w w:val="95"/>
          <w:sz w:val="32"/>
          <w:szCs w:val="32"/>
          <w:lang w:val="en-US" w:eastAsia="zh-CN"/>
        </w:rPr>
        <w:t>财政拨款：</w:t>
      </w:r>
      <w:r>
        <w:rPr>
          <w:rFonts w:hint="eastAsia" w:ascii="仿宋_GB2312" w:hAnsi="黑体" w:eastAsia="仿宋_GB2312"/>
          <w:snapToGrid w:val="0"/>
          <w:w w:val="95"/>
          <w:sz w:val="32"/>
          <w:szCs w:val="32"/>
          <w:lang w:val="en-US" w:eastAsia="zh-CN"/>
        </w:rPr>
        <w:t>是指县级财政当年拨付的资金。</w:t>
      </w:r>
    </w:p>
    <w:p>
      <w:pPr>
        <w:keepNext w:val="0"/>
        <w:keepLines w:val="0"/>
        <w:pageBreakBefore w:val="0"/>
        <w:widowControl/>
        <w:numPr>
          <w:ilvl w:val="0"/>
          <w:numId w:val="2"/>
        </w:numPr>
        <w:kinsoku/>
        <w:wordWrap/>
        <w:overflowPunct/>
        <w:topLinePunct w:val="0"/>
        <w:autoSpaceDE/>
        <w:autoSpaceDN/>
        <w:bidi w:val="0"/>
        <w:adjustRightInd w:val="0"/>
        <w:snapToGrid w:val="0"/>
        <w:spacing w:after="0" w:line="560" w:lineRule="exact"/>
        <w:ind w:left="0" w:leftChars="0" w:firstLine="611" w:firstLineChars="200"/>
        <w:jc w:val="both"/>
        <w:textAlignment w:val="auto"/>
        <w:rPr>
          <w:rFonts w:hint="eastAsia" w:ascii="仿宋_GB2312" w:hAnsi="黑体" w:eastAsia="仿宋_GB2312"/>
          <w:snapToGrid w:val="0"/>
          <w:w w:val="95"/>
          <w:sz w:val="32"/>
          <w:szCs w:val="32"/>
          <w:lang w:val="en-US" w:eastAsia="zh-CN"/>
        </w:rPr>
      </w:pPr>
      <w:r>
        <w:rPr>
          <w:rFonts w:hint="eastAsia" w:ascii="仿宋_GB2312" w:hAnsi="黑体" w:eastAsia="仿宋_GB2312"/>
          <w:b/>
          <w:bCs/>
          <w:snapToGrid w:val="0"/>
          <w:w w:val="95"/>
          <w:sz w:val="32"/>
          <w:szCs w:val="32"/>
          <w:lang w:val="en-US" w:eastAsia="zh-CN"/>
        </w:rPr>
        <w:t>一般公共服务支出（类）群众团体事务（款）行政运行（项）:</w:t>
      </w:r>
      <w:r>
        <w:rPr>
          <w:rFonts w:hint="eastAsia" w:ascii="仿宋_GB2312" w:hAnsi="黑体" w:eastAsia="仿宋_GB2312"/>
          <w:snapToGrid w:val="0"/>
          <w:w w:val="95"/>
          <w:sz w:val="32"/>
          <w:szCs w:val="32"/>
          <w:lang w:val="en-US" w:eastAsia="zh-CN"/>
        </w:rPr>
        <w:t>指机关正常运行经费；</w:t>
      </w:r>
    </w:p>
    <w:p>
      <w:pPr>
        <w:keepNext w:val="0"/>
        <w:keepLines w:val="0"/>
        <w:pageBreakBefore w:val="0"/>
        <w:widowControl/>
        <w:numPr>
          <w:ilvl w:val="0"/>
          <w:numId w:val="2"/>
        </w:numPr>
        <w:kinsoku/>
        <w:wordWrap/>
        <w:overflowPunct/>
        <w:topLinePunct w:val="0"/>
        <w:autoSpaceDE/>
        <w:autoSpaceDN/>
        <w:bidi w:val="0"/>
        <w:adjustRightInd w:val="0"/>
        <w:snapToGrid w:val="0"/>
        <w:spacing w:after="0" w:line="560" w:lineRule="exact"/>
        <w:ind w:left="0" w:leftChars="0" w:firstLine="611" w:firstLineChars="200"/>
        <w:jc w:val="both"/>
        <w:textAlignment w:val="auto"/>
        <w:rPr>
          <w:rFonts w:hint="eastAsia" w:ascii="仿宋_GB2312" w:hAnsi="黑体" w:eastAsia="仿宋_GB2312"/>
          <w:snapToGrid w:val="0"/>
          <w:w w:val="95"/>
          <w:sz w:val="32"/>
          <w:szCs w:val="32"/>
          <w:lang w:val="en-US" w:eastAsia="zh-CN"/>
        </w:rPr>
      </w:pPr>
      <w:r>
        <w:rPr>
          <w:rFonts w:hint="eastAsia" w:ascii="仿宋_GB2312" w:hAnsi="黑体" w:eastAsia="仿宋_GB2312"/>
          <w:b/>
          <w:bCs/>
          <w:snapToGrid w:val="0"/>
          <w:w w:val="95"/>
          <w:sz w:val="32"/>
          <w:szCs w:val="32"/>
          <w:lang w:val="en-US" w:eastAsia="zh-CN"/>
        </w:rPr>
        <w:t>一般公共服务支出（类）群众团体事务（款）其他群众团体事务支出（项）：</w:t>
      </w:r>
      <w:r>
        <w:rPr>
          <w:rFonts w:hint="eastAsia" w:ascii="仿宋_GB2312" w:hAnsi="黑体" w:eastAsia="仿宋_GB2312"/>
          <w:snapToGrid w:val="0"/>
          <w:w w:val="95"/>
          <w:sz w:val="32"/>
          <w:szCs w:val="32"/>
          <w:lang w:val="en-US" w:eastAsia="zh-CN"/>
        </w:rPr>
        <w:t>用于保障基层团组织正常运转经费。　　</w:t>
      </w:r>
    </w:p>
    <w:p>
      <w:pPr>
        <w:keepNext w:val="0"/>
        <w:keepLines w:val="0"/>
        <w:pageBreakBefore w:val="0"/>
        <w:widowControl/>
        <w:numPr>
          <w:ilvl w:val="0"/>
          <w:numId w:val="2"/>
        </w:numPr>
        <w:kinsoku/>
        <w:wordWrap/>
        <w:overflowPunct/>
        <w:topLinePunct w:val="0"/>
        <w:autoSpaceDE/>
        <w:autoSpaceDN/>
        <w:bidi w:val="0"/>
        <w:adjustRightInd w:val="0"/>
        <w:snapToGrid w:val="0"/>
        <w:spacing w:after="0" w:line="560" w:lineRule="exact"/>
        <w:ind w:left="0" w:leftChars="0" w:firstLine="611" w:firstLineChars="200"/>
        <w:jc w:val="both"/>
        <w:textAlignment w:val="auto"/>
        <w:rPr>
          <w:rFonts w:hint="eastAsia" w:ascii="仿宋_GB2312" w:hAnsi="黑体" w:eastAsia="仿宋_GB2312"/>
          <w:snapToGrid w:val="0"/>
          <w:w w:val="95"/>
          <w:sz w:val="32"/>
          <w:szCs w:val="32"/>
          <w:lang w:val="en-US" w:eastAsia="zh-CN"/>
        </w:rPr>
      </w:pPr>
      <w:r>
        <w:rPr>
          <w:rFonts w:hint="eastAsia" w:ascii="仿宋_GB2312" w:hAnsi="黑体" w:eastAsia="仿宋_GB2312"/>
          <w:b/>
          <w:bCs/>
          <w:snapToGrid w:val="0"/>
          <w:w w:val="95"/>
          <w:sz w:val="32"/>
          <w:szCs w:val="32"/>
          <w:lang w:val="en-US" w:eastAsia="zh-CN"/>
        </w:rPr>
        <w:t>基本支出：</w:t>
      </w:r>
      <w:r>
        <w:rPr>
          <w:rFonts w:hint="eastAsia" w:ascii="仿宋_GB2312" w:hAnsi="黑体" w:eastAsia="仿宋_GB2312"/>
          <w:snapToGrid w:val="0"/>
          <w:w w:val="95"/>
          <w:sz w:val="32"/>
          <w:szCs w:val="32"/>
          <w:lang w:val="en-US" w:eastAsia="zh-CN"/>
        </w:rPr>
        <w:t>指部门为保障其机构正常运转、完成日常工作任务而编制的年度基本支出计划，包括人员经费和公用经费两部分。</w:t>
      </w:r>
    </w:p>
    <w:p>
      <w:pPr>
        <w:keepNext w:val="0"/>
        <w:keepLines w:val="0"/>
        <w:pageBreakBefore w:val="0"/>
        <w:widowControl/>
        <w:numPr>
          <w:ilvl w:val="0"/>
          <w:numId w:val="2"/>
        </w:numPr>
        <w:kinsoku/>
        <w:wordWrap/>
        <w:overflowPunct/>
        <w:topLinePunct w:val="0"/>
        <w:autoSpaceDE/>
        <w:autoSpaceDN/>
        <w:bidi w:val="0"/>
        <w:adjustRightInd w:val="0"/>
        <w:snapToGrid w:val="0"/>
        <w:spacing w:after="0" w:line="560" w:lineRule="exact"/>
        <w:ind w:left="0" w:leftChars="0" w:firstLine="611" w:firstLineChars="200"/>
        <w:jc w:val="both"/>
        <w:textAlignment w:val="auto"/>
        <w:rPr>
          <w:rFonts w:hint="eastAsia" w:ascii="仿宋_GB2312" w:hAnsi="黑体" w:eastAsia="仿宋_GB2312"/>
          <w:snapToGrid w:val="0"/>
          <w:w w:val="95"/>
          <w:sz w:val="32"/>
          <w:szCs w:val="32"/>
          <w:lang w:val="en-US" w:eastAsia="zh-CN"/>
        </w:rPr>
      </w:pPr>
      <w:r>
        <w:rPr>
          <w:rFonts w:hint="eastAsia" w:ascii="仿宋_GB2312" w:hAnsi="黑体" w:eastAsia="仿宋_GB2312"/>
          <w:b/>
          <w:bCs/>
          <w:snapToGrid w:val="0"/>
          <w:w w:val="95"/>
          <w:sz w:val="32"/>
          <w:szCs w:val="32"/>
          <w:lang w:val="en-US" w:eastAsia="zh-CN"/>
        </w:rPr>
        <w:t>项目支出：</w:t>
      </w:r>
      <w:r>
        <w:rPr>
          <w:rFonts w:hint="eastAsia" w:ascii="仿宋_GB2312" w:hAnsi="黑体" w:eastAsia="仿宋_GB2312"/>
          <w:snapToGrid w:val="0"/>
          <w:w w:val="95"/>
          <w:sz w:val="32"/>
          <w:szCs w:val="32"/>
          <w:lang w:val="en-US" w:eastAsia="zh-CN"/>
        </w:rPr>
        <w:t>指部门为完成其特定的行政工作任务或事业发展目标，在基本支出预算之外编制的年度项目支出计划。</w:t>
      </w:r>
    </w:p>
    <w:p>
      <w:pPr>
        <w:keepNext w:val="0"/>
        <w:keepLines w:val="0"/>
        <w:pageBreakBefore w:val="0"/>
        <w:widowControl/>
        <w:numPr>
          <w:ilvl w:val="0"/>
          <w:numId w:val="2"/>
        </w:numPr>
        <w:kinsoku/>
        <w:wordWrap/>
        <w:overflowPunct/>
        <w:topLinePunct w:val="0"/>
        <w:autoSpaceDE/>
        <w:autoSpaceDN/>
        <w:bidi w:val="0"/>
        <w:adjustRightInd w:val="0"/>
        <w:snapToGrid w:val="0"/>
        <w:spacing w:after="0" w:line="560" w:lineRule="exact"/>
        <w:ind w:left="0" w:leftChars="0" w:firstLine="611" w:firstLineChars="200"/>
        <w:jc w:val="both"/>
        <w:textAlignment w:val="auto"/>
        <w:rPr>
          <w:sz w:val="84"/>
          <w:szCs w:val="84"/>
        </w:rPr>
      </w:pPr>
      <w:r>
        <w:rPr>
          <w:rFonts w:hint="eastAsia" w:ascii="仿宋_GB2312" w:hAnsi="黑体" w:eastAsia="仿宋_GB2312"/>
          <w:b/>
          <w:bCs/>
          <w:snapToGrid w:val="0"/>
          <w:w w:val="95"/>
          <w:sz w:val="32"/>
          <w:szCs w:val="32"/>
          <w:lang w:val="en-US" w:eastAsia="zh-CN"/>
        </w:rPr>
        <w:t>“三公”经费：</w:t>
      </w:r>
      <w:r>
        <w:rPr>
          <w:rFonts w:hint="eastAsia" w:ascii="仿宋_GB2312" w:hAnsi="黑体" w:eastAsia="仿宋_GB2312"/>
          <w:snapToGrid w:val="0"/>
          <w:w w:val="95"/>
          <w:sz w:val="32"/>
          <w:szCs w:val="32"/>
          <w:lang w:val="en-US" w:eastAsia="zh-CN"/>
        </w:rPr>
        <w:t>包括因公出国（境）费、公务接待费和公务用车购置及运行费。因公出国（境）费，指单位工作人员公务出国（境）的住宿费、旅费、伙食补助费、杂费、培训费等支出。公务接待费，指单位按规定开支的各类公务接待（含外宾接待）支出。公务用车购置及运行费，指单位公务用车购置费及租用费、燃料费、维修费、过路过桥费、保险费、安全奖励费用等支出，公务用车指用于履行公务的机动车辆，包括领导干部专车、一般公务用车和执法执勤用车。</w:t>
      </w:r>
    </w:p>
    <w:p>
      <w:pPr>
        <w:keepNext w:val="0"/>
        <w:keepLines w:val="0"/>
        <w:pageBreakBefore w:val="0"/>
        <w:widowControl/>
        <w:numPr>
          <w:ilvl w:val="0"/>
          <w:numId w:val="2"/>
        </w:numPr>
        <w:kinsoku/>
        <w:wordWrap/>
        <w:overflowPunct/>
        <w:topLinePunct w:val="0"/>
        <w:autoSpaceDE/>
        <w:autoSpaceDN/>
        <w:bidi w:val="0"/>
        <w:adjustRightInd w:val="0"/>
        <w:snapToGrid w:val="0"/>
        <w:spacing w:after="0" w:line="560" w:lineRule="exact"/>
        <w:ind w:left="0" w:leftChars="0" w:firstLine="611" w:firstLineChars="200"/>
        <w:jc w:val="both"/>
        <w:textAlignment w:val="auto"/>
        <w:rPr>
          <w:sz w:val="84"/>
          <w:szCs w:val="84"/>
        </w:rPr>
      </w:pPr>
      <w:r>
        <w:rPr>
          <w:rFonts w:hint="eastAsia" w:ascii="仿宋_GB2312" w:hAnsi="黑体" w:eastAsia="仿宋_GB2312"/>
          <w:b/>
          <w:bCs/>
          <w:snapToGrid w:val="0"/>
          <w:w w:val="95"/>
          <w:sz w:val="32"/>
          <w:szCs w:val="32"/>
          <w:lang w:val="en-US" w:eastAsia="zh-CN"/>
        </w:rPr>
        <w:t>一般行政管理事务：</w:t>
      </w:r>
      <w:r>
        <w:rPr>
          <w:rFonts w:hint="eastAsia" w:ascii="仿宋_GB2312" w:hAnsi="黑体" w:eastAsia="仿宋_GB2312"/>
          <w:snapToGrid w:val="0"/>
          <w:w w:val="95"/>
          <w:sz w:val="32"/>
          <w:szCs w:val="32"/>
          <w:lang w:val="en-US" w:eastAsia="zh-CN"/>
        </w:rPr>
        <w:t>反映行政单位（包括实行公务员管理的事业单位）未单独设置项级科目的其他项目支出。</w:t>
      </w: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小标宋简体">
    <w:altName w:val="黑体"/>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924BD8"/>
    <w:multiLevelType w:val="singleLevel"/>
    <w:tmpl w:val="02924BD8"/>
    <w:lvl w:ilvl="0" w:tentative="0">
      <w:start w:val="1"/>
      <w:numFmt w:val="chineseCounting"/>
      <w:suff w:val="nothing"/>
      <w:lvlText w:val="%1、"/>
      <w:lvlJc w:val="left"/>
      <w:pPr>
        <w:ind w:left="0" w:firstLine="420"/>
      </w:pPr>
      <w:rPr>
        <w:rFonts w:hint="eastAsia"/>
        <w:b/>
        <w:bCs/>
        <w:sz w:val="32"/>
        <w:szCs w:val="32"/>
      </w:rPr>
    </w:lvl>
  </w:abstractNum>
  <w:abstractNum w:abstractNumId="1">
    <w:nsid w:val="573546F8"/>
    <w:multiLevelType w:val="singleLevel"/>
    <w:tmpl w:val="573546F8"/>
    <w:lvl w:ilvl="0" w:tentative="0">
      <w:start w:val="1"/>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characterSpacingControl w:val="doNotCompress"/>
  <w:footnotePr>
    <w:footnote w:id="0"/>
    <w:footnote w:id="1"/>
  </w:footnotePr>
  <w:compat>
    <w:useFELayout/>
    <w:compatSetting w:name="compatibilityMode" w:uri="http://schemas.microsoft.com/office/word" w:val="12"/>
  </w:compat>
  <w:docVars>
    <w:docVar w:name="commondata" w:val="eyJoZGlkIjoiZmYzMmJjMmE1ZGIyYTAyMmQ3ZmM1ODgwYjY5YTdkMjcifQ=="/>
  </w:docVars>
  <w:rsids>
    <w:rsidRoot w:val="00D31D50"/>
    <w:rsid w:val="000068A0"/>
    <w:rsid w:val="000131C8"/>
    <w:rsid w:val="000205B6"/>
    <w:rsid w:val="00043B76"/>
    <w:rsid w:val="000506F1"/>
    <w:rsid w:val="00065AC2"/>
    <w:rsid w:val="00094F3E"/>
    <w:rsid w:val="000B08E5"/>
    <w:rsid w:val="000C4FC1"/>
    <w:rsid w:val="000D684C"/>
    <w:rsid w:val="000E24EC"/>
    <w:rsid w:val="000F02CE"/>
    <w:rsid w:val="001130C8"/>
    <w:rsid w:val="00121B3A"/>
    <w:rsid w:val="00135D9C"/>
    <w:rsid w:val="001468A9"/>
    <w:rsid w:val="00153334"/>
    <w:rsid w:val="00155D65"/>
    <w:rsid w:val="00170AE9"/>
    <w:rsid w:val="0017591A"/>
    <w:rsid w:val="001834FB"/>
    <w:rsid w:val="0018775C"/>
    <w:rsid w:val="0019029C"/>
    <w:rsid w:val="00194943"/>
    <w:rsid w:val="001A70AC"/>
    <w:rsid w:val="001A75E6"/>
    <w:rsid w:val="001B3308"/>
    <w:rsid w:val="001B7DD1"/>
    <w:rsid w:val="001D2123"/>
    <w:rsid w:val="001D3C35"/>
    <w:rsid w:val="001D7A44"/>
    <w:rsid w:val="001E1206"/>
    <w:rsid w:val="001E5C57"/>
    <w:rsid w:val="001F7ABE"/>
    <w:rsid w:val="00212481"/>
    <w:rsid w:val="00212D09"/>
    <w:rsid w:val="00217E49"/>
    <w:rsid w:val="00221544"/>
    <w:rsid w:val="00222275"/>
    <w:rsid w:val="00230DD0"/>
    <w:rsid w:val="00232036"/>
    <w:rsid w:val="0025255C"/>
    <w:rsid w:val="0026112B"/>
    <w:rsid w:val="00265B6C"/>
    <w:rsid w:val="00283120"/>
    <w:rsid w:val="002A55F6"/>
    <w:rsid w:val="002B3D37"/>
    <w:rsid w:val="002B7970"/>
    <w:rsid w:val="002D2DC7"/>
    <w:rsid w:val="002E1A51"/>
    <w:rsid w:val="002E506B"/>
    <w:rsid w:val="002F4101"/>
    <w:rsid w:val="00306918"/>
    <w:rsid w:val="003104C5"/>
    <w:rsid w:val="00317063"/>
    <w:rsid w:val="00323B43"/>
    <w:rsid w:val="003431FF"/>
    <w:rsid w:val="00352A47"/>
    <w:rsid w:val="003601CD"/>
    <w:rsid w:val="0038379C"/>
    <w:rsid w:val="00395909"/>
    <w:rsid w:val="003B5AE7"/>
    <w:rsid w:val="003D37D8"/>
    <w:rsid w:val="003D3D01"/>
    <w:rsid w:val="003D422F"/>
    <w:rsid w:val="003F6AD7"/>
    <w:rsid w:val="004058CC"/>
    <w:rsid w:val="004237CC"/>
    <w:rsid w:val="00426133"/>
    <w:rsid w:val="0042770D"/>
    <w:rsid w:val="00432BA4"/>
    <w:rsid w:val="004358AB"/>
    <w:rsid w:val="00441295"/>
    <w:rsid w:val="00460611"/>
    <w:rsid w:val="0046244B"/>
    <w:rsid w:val="00487080"/>
    <w:rsid w:val="0049496C"/>
    <w:rsid w:val="0049525C"/>
    <w:rsid w:val="00495932"/>
    <w:rsid w:val="004A2C77"/>
    <w:rsid w:val="004B794E"/>
    <w:rsid w:val="004C35E0"/>
    <w:rsid w:val="004C3E48"/>
    <w:rsid w:val="004C4E14"/>
    <w:rsid w:val="004D69F7"/>
    <w:rsid w:val="00504015"/>
    <w:rsid w:val="00521C17"/>
    <w:rsid w:val="00530EE9"/>
    <w:rsid w:val="00582C6C"/>
    <w:rsid w:val="00587AC9"/>
    <w:rsid w:val="00590A3C"/>
    <w:rsid w:val="00596433"/>
    <w:rsid w:val="005B1A7D"/>
    <w:rsid w:val="005B1D80"/>
    <w:rsid w:val="005B2CAE"/>
    <w:rsid w:val="005B4BD7"/>
    <w:rsid w:val="005D69C8"/>
    <w:rsid w:val="005F10DE"/>
    <w:rsid w:val="00622E39"/>
    <w:rsid w:val="0062627F"/>
    <w:rsid w:val="006378C1"/>
    <w:rsid w:val="00637A70"/>
    <w:rsid w:val="0064767A"/>
    <w:rsid w:val="00651610"/>
    <w:rsid w:val="00652C2E"/>
    <w:rsid w:val="0065762C"/>
    <w:rsid w:val="006761A8"/>
    <w:rsid w:val="0068356A"/>
    <w:rsid w:val="006836BE"/>
    <w:rsid w:val="00693F90"/>
    <w:rsid w:val="006B1773"/>
    <w:rsid w:val="006B5F1C"/>
    <w:rsid w:val="006D1614"/>
    <w:rsid w:val="006E49C0"/>
    <w:rsid w:val="0070063A"/>
    <w:rsid w:val="00710F52"/>
    <w:rsid w:val="0071382E"/>
    <w:rsid w:val="007400C8"/>
    <w:rsid w:val="007442FD"/>
    <w:rsid w:val="00761050"/>
    <w:rsid w:val="00761184"/>
    <w:rsid w:val="007848AB"/>
    <w:rsid w:val="0079768E"/>
    <w:rsid w:val="007A581C"/>
    <w:rsid w:val="007F0E6B"/>
    <w:rsid w:val="007F3C88"/>
    <w:rsid w:val="008000EE"/>
    <w:rsid w:val="00816270"/>
    <w:rsid w:val="00852050"/>
    <w:rsid w:val="0088342B"/>
    <w:rsid w:val="008A3245"/>
    <w:rsid w:val="008A4248"/>
    <w:rsid w:val="008A4728"/>
    <w:rsid w:val="008B4067"/>
    <w:rsid w:val="008B7726"/>
    <w:rsid w:val="008C7ECD"/>
    <w:rsid w:val="008D1D05"/>
    <w:rsid w:val="00912DD0"/>
    <w:rsid w:val="009309D0"/>
    <w:rsid w:val="00940BE5"/>
    <w:rsid w:val="0095017D"/>
    <w:rsid w:val="0096343B"/>
    <w:rsid w:val="009B58F6"/>
    <w:rsid w:val="009C1E95"/>
    <w:rsid w:val="009D2FE1"/>
    <w:rsid w:val="009D379B"/>
    <w:rsid w:val="009E2D20"/>
    <w:rsid w:val="00A02B2D"/>
    <w:rsid w:val="00A0343F"/>
    <w:rsid w:val="00A06BD4"/>
    <w:rsid w:val="00A201BF"/>
    <w:rsid w:val="00A25DF5"/>
    <w:rsid w:val="00A34078"/>
    <w:rsid w:val="00A53E73"/>
    <w:rsid w:val="00A729A7"/>
    <w:rsid w:val="00A80816"/>
    <w:rsid w:val="00A953D2"/>
    <w:rsid w:val="00AC23D3"/>
    <w:rsid w:val="00AD10B3"/>
    <w:rsid w:val="00B63635"/>
    <w:rsid w:val="00B7473C"/>
    <w:rsid w:val="00B75BFC"/>
    <w:rsid w:val="00B93CE5"/>
    <w:rsid w:val="00B95D6E"/>
    <w:rsid w:val="00B96172"/>
    <w:rsid w:val="00BA7DC2"/>
    <w:rsid w:val="00BE44E4"/>
    <w:rsid w:val="00BF0EB4"/>
    <w:rsid w:val="00BF1BD3"/>
    <w:rsid w:val="00C02967"/>
    <w:rsid w:val="00C11F5B"/>
    <w:rsid w:val="00C13A1F"/>
    <w:rsid w:val="00C25C61"/>
    <w:rsid w:val="00C448C2"/>
    <w:rsid w:val="00C5220F"/>
    <w:rsid w:val="00C70CB5"/>
    <w:rsid w:val="00C81CAB"/>
    <w:rsid w:val="00C909E2"/>
    <w:rsid w:val="00C91B79"/>
    <w:rsid w:val="00C9253E"/>
    <w:rsid w:val="00CC10CA"/>
    <w:rsid w:val="00CD3051"/>
    <w:rsid w:val="00CD62BB"/>
    <w:rsid w:val="00CE31FA"/>
    <w:rsid w:val="00CF21E2"/>
    <w:rsid w:val="00CF42AF"/>
    <w:rsid w:val="00CF7606"/>
    <w:rsid w:val="00D21895"/>
    <w:rsid w:val="00D31D50"/>
    <w:rsid w:val="00D34960"/>
    <w:rsid w:val="00D464FE"/>
    <w:rsid w:val="00D607EC"/>
    <w:rsid w:val="00D87DDA"/>
    <w:rsid w:val="00D97CB3"/>
    <w:rsid w:val="00DA7B43"/>
    <w:rsid w:val="00DA7F4C"/>
    <w:rsid w:val="00DB4D5A"/>
    <w:rsid w:val="00DB6D32"/>
    <w:rsid w:val="00DC5CD6"/>
    <w:rsid w:val="00DF1715"/>
    <w:rsid w:val="00DF43DA"/>
    <w:rsid w:val="00E002E7"/>
    <w:rsid w:val="00E0533C"/>
    <w:rsid w:val="00E34305"/>
    <w:rsid w:val="00E57825"/>
    <w:rsid w:val="00E83A7C"/>
    <w:rsid w:val="00E92477"/>
    <w:rsid w:val="00E93D3B"/>
    <w:rsid w:val="00EA1231"/>
    <w:rsid w:val="00EA6CAC"/>
    <w:rsid w:val="00EB06C8"/>
    <w:rsid w:val="00EB2EEC"/>
    <w:rsid w:val="00EB6AAB"/>
    <w:rsid w:val="00EC5683"/>
    <w:rsid w:val="00EF7025"/>
    <w:rsid w:val="00F00D13"/>
    <w:rsid w:val="00F146F5"/>
    <w:rsid w:val="00F22C97"/>
    <w:rsid w:val="00F31A7F"/>
    <w:rsid w:val="00F356D4"/>
    <w:rsid w:val="00F56AC7"/>
    <w:rsid w:val="00F57CAD"/>
    <w:rsid w:val="00F607D9"/>
    <w:rsid w:val="00F612AE"/>
    <w:rsid w:val="00F85106"/>
    <w:rsid w:val="00FC1081"/>
    <w:rsid w:val="00FC5BEC"/>
    <w:rsid w:val="00FE49E1"/>
    <w:rsid w:val="00FF0B52"/>
    <w:rsid w:val="00FF5D20"/>
    <w:rsid w:val="00FF60EC"/>
    <w:rsid w:val="04430C71"/>
    <w:rsid w:val="0ABC0369"/>
    <w:rsid w:val="0EFC6FD1"/>
    <w:rsid w:val="163D6162"/>
    <w:rsid w:val="189C1891"/>
    <w:rsid w:val="1C9C618E"/>
    <w:rsid w:val="25F718C4"/>
    <w:rsid w:val="262C31F3"/>
    <w:rsid w:val="34557741"/>
    <w:rsid w:val="356B28DD"/>
    <w:rsid w:val="38005D93"/>
    <w:rsid w:val="3BA758B6"/>
    <w:rsid w:val="3BB85381"/>
    <w:rsid w:val="3C8E5881"/>
    <w:rsid w:val="481D46E1"/>
    <w:rsid w:val="4EDF28C1"/>
    <w:rsid w:val="4F1374CD"/>
    <w:rsid w:val="5A094AC0"/>
    <w:rsid w:val="5D416569"/>
    <w:rsid w:val="6B737AB1"/>
    <w:rsid w:val="6F2F3A78"/>
    <w:rsid w:val="77D26D2E"/>
    <w:rsid w:val="7A804D74"/>
    <w:rsid w:val="7B897B3A"/>
    <w:rsid w:val="7D6F6BB8"/>
    <w:rsid w:val="7DB83D5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jc w:val="center"/>
    </w:pPr>
    <w:rPr>
      <w:sz w:val="18"/>
      <w:szCs w:val="18"/>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hint="eastAsia" w:ascii="宋体" w:hAnsi="宋体" w:eastAsia="宋体" w:cs="Times New Roman"/>
      <w:sz w:val="24"/>
      <w:szCs w:val="24"/>
    </w:rPr>
  </w:style>
  <w:style w:type="character" w:styleId="7">
    <w:name w:val="page number"/>
    <w:basedOn w:val="6"/>
    <w:qFormat/>
    <w:uiPriority w:val="0"/>
  </w:style>
  <w:style w:type="character" w:customStyle="1" w:styleId="8">
    <w:name w:val="页眉 Char"/>
    <w:basedOn w:val="6"/>
    <w:link w:val="3"/>
    <w:semiHidden/>
    <w:qFormat/>
    <w:uiPriority w:val="99"/>
    <w:rPr>
      <w:rFonts w:ascii="Tahoma" w:hAnsi="Tahoma"/>
      <w:sz w:val="18"/>
      <w:szCs w:val="18"/>
    </w:rPr>
  </w:style>
  <w:style w:type="character" w:customStyle="1" w:styleId="9">
    <w:name w:val="页脚 Char"/>
    <w:basedOn w:val="6"/>
    <w:link w:val="2"/>
    <w:semiHidden/>
    <w:qFormat/>
    <w:uiPriority w:val="99"/>
    <w:rPr>
      <w:rFonts w:ascii="Tahoma" w:hAnsi="Tahoma"/>
      <w:sz w:val="18"/>
      <w:szCs w:val="18"/>
    </w:rPr>
  </w:style>
  <w:style w:type="paragraph" w:styleId="10">
    <w:name w:val="List Paragraph"/>
    <w:basedOn w:val="1"/>
    <w:qFormat/>
    <w:uiPriority w:val="34"/>
    <w:pPr>
      <w:ind w:firstLine="420" w:firstLineChars="200"/>
    </w:pPr>
  </w:style>
  <w:style w:type="paragraph" w:customStyle="1" w:styleId="11">
    <w:name w:val="列出段落1"/>
    <w:basedOn w:val="1"/>
    <w:qFormat/>
    <w:uiPriority w:val="0"/>
    <w:pPr>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04538AC-0629-4F6A-B614-DA27956CAA39}">
  <ds:schemaRefs/>
</ds:datastoreItem>
</file>

<file path=docProps/app.xml><?xml version="1.0" encoding="utf-8"?>
<Properties xmlns="http://schemas.openxmlformats.org/officeDocument/2006/extended-properties" xmlns:vt="http://schemas.openxmlformats.org/officeDocument/2006/docPropsVTypes">
  <Template>Normal</Template>
  <Pages>11</Pages>
  <Words>3296</Words>
  <Characters>3608</Characters>
  <Lines>26</Lines>
  <Paragraphs>7</Paragraphs>
  <TotalTime>22</TotalTime>
  <ScaleCrop>false</ScaleCrop>
  <LinksUpToDate>false</LinksUpToDate>
  <CharactersWithSpaces>3690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总预算</dc:creator>
  <cp:lastModifiedBy>Administrator</cp:lastModifiedBy>
  <cp:lastPrinted>2019-03-11T03:31:00Z</cp:lastPrinted>
  <dcterms:modified xsi:type="dcterms:W3CDTF">2023-04-23T09:26:01Z</dcterms:modified>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4ACDF4B1302B405996E0C526CA4CA05D</vt:lpwstr>
  </property>
</Properties>
</file>