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szCs w:val="44"/>
        </w:rPr>
      </w:pPr>
    </w:p>
    <w:p>
      <w:pPr>
        <w:jc w:val="center"/>
        <w:rPr>
          <w:sz w:val="44"/>
          <w:szCs w:val="44"/>
        </w:rPr>
      </w:pPr>
    </w:p>
    <w:p>
      <w:pPr>
        <w:jc w:val="center"/>
        <w:rPr>
          <w:sz w:val="44"/>
          <w:szCs w:val="44"/>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察隅县司法局</w:t>
      </w:r>
      <w:r>
        <w:rPr>
          <w:rFonts w:ascii="黑体" w:eastAsia="黑体"/>
          <w:b/>
          <w:sz w:val="52"/>
          <w:szCs w:val="52"/>
        </w:rPr>
        <w:t>202</w:t>
      </w:r>
      <w:r>
        <w:rPr>
          <w:rFonts w:hint="eastAsia" w:ascii="黑体" w:eastAsia="黑体"/>
          <w:b/>
          <w:sz w:val="52"/>
          <w:szCs w:val="52"/>
        </w:rPr>
        <w:t>1年度部门预算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bookmarkStart w:id="0" w:name="_GoBack"/>
      <w:bookmarkEnd w:id="0"/>
    </w:p>
    <w:p>
      <w:pPr>
        <w:rPr>
          <w:sz w:val="44"/>
          <w:szCs w:val="44"/>
        </w:rPr>
      </w:pPr>
    </w:p>
    <w:p>
      <w:pPr>
        <w:rPr>
          <w:sz w:val="44"/>
          <w:szCs w:val="44"/>
        </w:rPr>
      </w:pPr>
    </w:p>
    <w:p>
      <w:pPr>
        <w:ind w:firstLine="1600" w:firstLineChars="500"/>
        <w:rPr>
          <w:rFonts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2021</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rPr>
        <w:t>2</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1</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日</w:t>
      </w:r>
    </w:p>
    <w:p>
      <w:pPr>
        <w:rPr>
          <w:sz w:val="44"/>
          <w:szCs w:val="44"/>
        </w:rPr>
      </w:pPr>
    </w:p>
    <w:p>
      <w:pPr>
        <w:rPr>
          <w:sz w:val="44"/>
          <w:szCs w:val="44"/>
        </w:rPr>
      </w:pPr>
    </w:p>
    <w:p>
      <w:pPr>
        <w:jc w:val="center"/>
        <w:rPr>
          <w:rFonts w:ascii="黑体" w:hAnsi="黑体" w:eastAsia="黑体"/>
          <w:b/>
          <w:snapToGrid w:val="0"/>
          <w:w w:val="95"/>
          <w:sz w:val="44"/>
          <w:szCs w:val="44"/>
        </w:rPr>
      </w:pPr>
    </w:p>
    <w:p>
      <w:pPr>
        <w:adjustRightInd/>
        <w:snapToGrid/>
        <w:spacing w:after="0"/>
        <w:rPr>
          <w:rFonts w:ascii="黑体" w:hAnsi="黑体" w:eastAsia="黑体"/>
          <w:b/>
          <w:snapToGrid w:val="0"/>
          <w:w w:val="95"/>
          <w:sz w:val="44"/>
          <w:szCs w:val="44"/>
        </w:rPr>
      </w:pP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目录</w:t>
      </w:r>
    </w:p>
    <w:p>
      <w:pPr>
        <w:spacing w:line="560" w:lineRule="exact"/>
        <w:rPr>
          <w:rFonts w:ascii="宋体" w:hAnsi="宋体"/>
          <w:b/>
          <w:snapToGrid w:val="0"/>
          <w:w w:val="95"/>
          <w:sz w:val="44"/>
          <w:szCs w:val="44"/>
        </w:rPr>
      </w:pPr>
      <w:r>
        <w:rPr>
          <w:rFonts w:hint="eastAsia" w:ascii="FangSong_GB2312" w:hAnsi="黑体" w:eastAsia="FangSong_GB2312"/>
          <w:b/>
          <w:snapToGrid w:val="0"/>
          <w:w w:val="95"/>
          <w:sz w:val="36"/>
          <w:szCs w:val="36"/>
        </w:rPr>
        <w:t xml:space="preserve">第一部分  </w:t>
      </w:r>
      <w:r>
        <w:rPr>
          <w:rFonts w:hint="eastAsia" w:ascii="FangSong_GB2312" w:hAnsi="宋体" w:eastAsia="FangSong_GB2312"/>
          <w:b/>
          <w:snapToGrid w:val="0"/>
          <w:w w:val="95"/>
          <w:sz w:val="36"/>
          <w:szCs w:val="36"/>
        </w:rPr>
        <w:t>察隅县司法局概况</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一、主要职能</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二、部门预算单位构成</w:t>
      </w:r>
    </w:p>
    <w:p>
      <w:pPr>
        <w:spacing w:line="560" w:lineRule="exact"/>
        <w:rPr>
          <w:rFonts w:ascii="FangSong_GB2312" w:hAnsi="宋体" w:eastAsia="FangSong_GB2312"/>
          <w:b/>
          <w:snapToGrid w:val="0"/>
          <w:w w:val="95"/>
          <w:sz w:val="36"/>
          <w:szCs w:val="36"/>
        </w:rPr>
      </w:pPr>
      <w:r>
        <w:rPr>
          <w:rFonts w:hint="eastAsia" w:ascii="FangSong_GB2312" w:hAnsi="黑体" w:eastAsia="FangSong_GB2312"/>
          <w:b/>
          <w:snapToGrid w:val="0"/>
          <w:w w:val="95"/>
          <w:sz w:val="36"/>
          <w:szCs w:val="36"/>
        </w:rPr>
        <w:t xml:space="preserve">第二部分  </w:t>
      </w:r>
      <w:r>
        <w:rPr>
          <w:rFonts w:hint="eastAsia" w:ascii="FangSong_GB2312" w:hAnsi="宋体" w:eastAsia="FangSong_GB2312"/>
          <w:b/>
          <w:snapToGrid w:val="0"/>
          <w:w w:val="95"/>
          <w:sz w:val="36"/>
          <w:szCs w:val="36"/>
        </w:rPr>
        <w:t>察隅县司法局2021年度部门预算明细表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一、部门收支总体情况表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二、部门收入总体情况表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三、部门支出总体情况表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四、财政拨款收支总体情况表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五、一般公共预算支出情况表（按功能分类科目）</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六、一般公共预算基本支出情况表（按经济分类款级科目）</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七、一般公共预算“三公”经费支出情况表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八、政府性基金“三公”经费支出情况表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九、政府性基金预算支出情况表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十</w:t>
      </w:r>
      <w:r>
        <w:rPr>
          <w:rFonts w:ascii="FangSong_GB2312" w:hAnsi="黑体" w:eastAsia="FangSong_GB2312"/>
          <w:snapToGrid w:val="0"/>
          <w:w w:val="95"/>
          <w:sz w:val="32"/>
          <w:szCs w:val="32"/>
        </w:rPr>
        <w:t>、</w:t>
      </w:r>
      <w:r>
        <w:rPr>
          <w:rFonts w:hint="eastAsia" w:ascii="FangSong_GB2312" w:hAnsi="黑体" w:eastAsia="FangSong_GB2312"/>
          <w:snapToGrid w:val="0"/>
          <w:w w:val="95"/>
          <w:sz w:val="32"/>
          <w:szCs w:val="32"/>
        </w:rPr>
        <w:t>政府购买服务预算表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十一、项目支出绩效表</w:t>
      </w:r>
    </w:p>
    <w:p>
      <w:pPr>
        <w:spacing w:line="560" w:lineRule="exact"/>
        <w:rPr>
          <w:rFonts w:ascii="FangSong_GB2312" w:hAnsi="宋体" w:eastAsia="FangSong_GB2312"/>
          <w:b/>
          <w:snapToGrid w:val="0"/>
          <w:w w:val="95"/>
          <w:sz w:val="36"/>
          <w:szCs w:val="36"/>
        </w:rPr>
      </w:pPr>
      <w:r>
        <w:rPr>
          <w:rFonts w:hint="eastAsia" w:ascii="FangSong_GB2312" w:hAnsi="黑体" w:eastAsia="FangSong_GB2312"/>
          <w:b/>
          <w:snapToGrid w:val="0"/>
          <w:w w:val="95"/>
          <w:sz w:val="36"/>
          <w:szCs w:val="36"/>
        </w:rPr>
        <w:t xml:space="preserve">第三部分  </w:t>
      </w:r>
      <w:r>
        <w:rPr>
          <w:rFonts w:hint="eastAsia" w:ascii="FangSong_GB2312" w:hAnsi="宋体" w:eastAsia="FangSong_GB2312"/>
          <w:b/>
          <w:snapToGrid w:val="0"/>
          <w:w w:val="95"/>
          <w:sz w:val="36"/>
          <w:szCs w:val="36"/>
        </w:rPr>
        <w:t>察隅县司法局2021年度部门预算数据分析</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一、2021年度财政拨款收支预算情况总体说明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二、2021年度一般公共预算当年财政预算拨款情况说明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三、2021年度一般公共预算基本支出情况说明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四、2021年度一般公共预算“三公”经费预算情况说明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五、2021年度政府性基金预算支出情况说明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六、2021年度收支预算情况总体说明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七、关于部门收入总表的说明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八、关于部门支出总表的说明</w:t>
      </w:r>
    </w:p>
    <w:p>
      <w:pPr>
        <w:spacing w:line="560" w:lineRule="exact"/>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九、其他公开事项说明</w:t>
      </w:r>
    </w:p>
    <w:p>
      <w:pPr>
        <w:spacing w:line="560" w:lineRule="exact"/>
        <w:rPr>
          <w:rFonts w:ascii="FangSong_GB2312" w:hAnsi="宋体" w:eastAsia="FangSong_GB2312"/>
          <w:b/>
          <w:snapToGrid w:val="0"/>
          <w:w w:val="95"/>
          <w:sz w:val="36"/>
          <w:szCs w:val="36"/>
        </w:rPr>
      </w:pPr>
      <w:r>
        <w:rPr>
          <w:rFonts w:hint="eastAsia" w:ascii="FangSong_GB2312" w:hAnsi="黑体" w:eastAsia="FangSong_GB2312"/>
          <w:b/>
          <w:snapToGrid w:val="0"/>
          <w:w w:val="95"/>
          <w:sz w:val="36"/>
          <w:szCs w:val="36"/>
        </w:rPr>
        <w:t xml:space="preserve">第四部分  </w:t>
      </w:r>
      <w:r>
        <w:rPr>
          <w:rFonts w:hint="eastAsia" w:ascii="FangSong_GB2312" w:hAnsi="宋体" w:eastAsia="FangSong_GB2312"/>
          <w:b/>
          <w:snapToGrid w:val="0"/>
          <w:w w:val="95"/>
          <w:sz w:val="36"/>
          <w:szCs w:val="36"/>
        </w:rPr>
        <w:t>名词解释</w:t>
      </w:r>
    </w:p>
    <w:p>
      <w:pPr>
        <w:rPr>
          <w:rFonts w:ascii="FangSong_GB2312" w:hAnsi="宋体" w:eastAsia="FangSong_GB2312"/>
          <w:b/>
          <w:snapToGrid w:val="0"/>
          <w:w w:val="95"/>
          <w:sz w:val="36"/>
          <w:szCs w:val="36"/>
        </w:rPr>
      </w:pPr>
    </w:p>
    <w:p>
      <w:pPr>
        <w:rPr>
          <w:rFonts w:ascii="宋体" w:hAnsi="宋体"/>
          <w:b/>
          <w:snapToGrid w:val="0"/>
          <w:w w:val="95"/>
          <w:sz w:val="44"/>
          <w:szCs w:val="44"/>
        </w:rPr>
      </w:pP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第一部分 察隅县司法局概况</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一、主要职能</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（一）部门职责</w:t>
      </w:r>
    </w:p>
    <w:p>
      <w:pPr>
        <w:spacing w:line="560" w:lineRule="exact"/>
        <w:ind w:firstLine="643"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司法局职责</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1、贯彻执行国家 、自治区和地区关于司法行政和法律援助工作的方针政策和法律法规；拟定本县司法行政工作的发展规划和具体措施并组织实施。</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2、负责管理和指导全县的普法和法制宣传教育工作；指导各乡（镇）、各行业法制宣传教育、依法治理工作。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3、指导和监督人民调解、基层法律服务、帮教安置工作，参与仲裁工作；并抓好基层人民调解员的政治和业务培训工作。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4、指导、监督基层司法行政工作机构建设工作，参与全县的社会治安综合治理工作，开展对刑释解教人员的过度性安置帮教工作和青少年法制道德教育工作。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5、承担全县的法律援助工作责任，实施法律援助和法律咨询服务。</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6、承担协调有关方面提出关于全面依法治县中长期发展规划建议。负责面向社会征集上级关于地方性法规、政府规章制定项目的建议。</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7、负责统筹规范性文件（非立法性文件）的拟定审查工作。协调有关方面提出规范性文件（非立法性文件）法律适用性的建议，加强组织协调和督促指导，研究提出具有法律适用性的意见、措施。</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8、承担统筹推进法治政府建设工作。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9、承担统筹规划全县法治社会建设的责任。</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10、协助国家统一法律职业资格考试相关工作开展，配合做好国家统一法律职业资格审核、资格证书管理和法律职业人员入职前培训工作。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11、增加指导管理社区矫正工作职责。</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12、加强监督管理法律援助工作的职责。</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13、承办政府交办的其他事项。</w:t>
      </w:r>
    </w:p>
    <w:p>
      <w:pPr>
        <w:spacing w:line="560" w:lineRule="exact"/>
        <w:ind w:firstLine="643" w:firstLineChars="200"/>
        <w:rPr>
          <w:rFonts w:ascii="FangSong_GB2312" w:hAnsi="FangSong_GB2312" w:eastAsia="FangSong_GB2312" w:cs="FangSong_GB2312"/>
          <w:b/>
          <w:sz w:val="32"/>
          <w:szCs w:val="32"/>
        </w:rPr>
      </w:pPr>
      <w:r>
        <w:rPr>
          <w:rFonts w:hint="eastAsia" w:ascii="FangSong_GB2312" w:hAnsi="FangSong_GB2312" w:eastAsia="FangSong_GB2312" w:cs="FangSong_GB2312"/>
          <w:b/>
          <w:sz w:val="32"/>
          <w:szCs w:val="32"/>
        </w:rPr>
        <w:t>法律援助中心主要职责</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1、贯彻、执行国家和西藏自治区有关法律援助的法律、法规、规章和政策，依法开展法律援助工作。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2、负责受理、审查法律援助申请，并安排法律援助人员为符合条件的困难群众提供法律援助。</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3、按《法律援助条例》规定，面向社会为符合条件的困难群众提供无偿法律帮助。</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4、为政府行政决策提供法律意见和法律依据。</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5、协助解决涉及政府行政行为的纠纷，代理政府参与行政诉讼。</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6、负责法律援助队伍建设和案件卷宗及相关资料管理。</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7、做好群众来信来访的接待和法律咨询、代书及法律援助案例的承办工作。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8、负责为政府行政决策提供法律意见和法律依据，协助解决涉及政府行政行为的纠纷，代理政府参与行政诉讼。承办政府交办的法律事务。</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9、负责管理、协调组织实施本县的法律援助工作及法律援助及法律援助队伍建设和业务培训工作。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10、对县域弱势群体现状进行调研，提出法律援助工作方案，并根据本县经济发展水平和实际需要制定相应的工作细则，并组织实施。</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11、承办政府交办的法律事务，促进政府依法行政。</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（二）机构设置</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1、县司法局政法专项编制10名（含5名乡镇专职司法助理员编制），其中：科级领导职数3名。</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2、县法律援助中心事业编制2名，其中：科级领导职数1名。</w:t>
      </w:r>
    </w:p>
    <w:p>
      <w:pPr>
        <w:ind w:firstLine="627" w:firstLineChars="196"/>
        <w:rPr>
          <w:rFonts w:ascii="仿宋" w:hAnsi="仿宋" w:eastAsia="仿宋"/>
          <w:sz w:val="32"/>
          <w:szCs w:val="32"/>
        </w:rPr>
      </w:pPr>
    </w:p>
    <w:p>
      <w:pPr>
        <w:rPr>
          <w:rFonts w:ascii="FangSong_GB2312" w:hAnsi="黑体" w:eastAsia="FangSong_GB2312"/>
          <w:snapToGrid w:val="0"/>
          <w:w w:val="95"/>
          <w:sz w:val="32"/>
          <w:szCs w:val="32"/>
        </w:rPr>
      </w:pP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二、部门预算单位构成</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察隅县司法局，正科级建制为县政府工作部门。</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设立察隅县法律援助中心，归口县司法局管理，副科级事业单位。</w:t>
      </w:r>
    </w:p>
    <w:p>
      <w:pPr>
        <w:spacing w:line="560" w:lineRule="exact"/>
        <w:ind w:firstLine="640" w:firstLineChars="200"/>
        <w:rPr>
          <w:rFonts w:ascii="FangSong_GB2312" w:hAnsi="FangSong_GB2312" w:eastAsia="FangSong_GB2312" w:cs="FangSong_GB2312"/>
          <w:sz w:val="32"/>
          <w:szCs w:val="32"/>
        </w:rPr>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第二部分  察隅县司法局2021年度部门预算明细表（详见附件）</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一、部门收支总体情况表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二、部门收入总体情况表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三、部门支出总体情况表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四、财政拨款收支总体情况表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五、一般公共预算支出情况表（按功能分类科目）</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六、一般公共预算基本支出情况表（按经济分类款级科目）</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七、一般公共预算“三公”经费支出情况表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八、政府性基金“三公”经费支出情况表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九、政府性基金预算支出情况表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十</w:t>
      </w:r>
      <w:r>
        <w:rPr>
          <w:rFonts w:ascii="FangSong_GB2312" w:hAnsi="黑体" w:eastAsia="FangSong_GB2312"/>
          <w:snapToGrid w:val="0"/>
          <w:w w:val="95"/>
          <w:sz w:val="32"/>
          <w:szCs w:val="32"/>
        </w:rPr>
        <w:t>、</w:t>
      </w:r>
      <w:r>
        <w:rPr>
          <w:rFonts w:hint="eastAsia" w:ascii="FangSong_GB2312" w:hAnsi="黑体" w:eastAsia="FangSong_GB2312"/>
          <w:snapToGrid w:val="0"/>
          <w:w w:val="95"/>
          <w:sz w:val="32"/>
          <w:szCs w:val="32"/>
        </w:rPr>
        <w:t>政府购买服务预算表</w:t>
      </w:r>
    </w:p>
    <w:p>
      <w:pPr>
        <w:rPr>
          <w:rFonts w:ascii="FangSong_GB2312" w:hAnsi="黑体" w:eastAsia="FangSong_GB2312"/>
          <w:snapToGrid w:val="0"/>
          <w:w w:val="95"/>
          <w:sz w:val="32"/>
          <w:szCs w:val="32"/>
        </w:rPr>
      </w:pPr>
      <w:r>
        <w:rPr>
          <w:rFonts w:hint="eastAsia" w:ascii="FangSong_GB2312" w:hAnsi="黑体" w:eastAsia="FangSong_GB2312"/>
          <w:snapToGrid w:val="0"/>
          <w:w w:val="95"/>
          <w:sz w:val="32"/>
          <w:szCs w:val="32"/>
        </w:rPr>
        <w:t>十一、项目支出绩效表</w:t>
      </w:r>
    </w:p>
    <w:p>
      <w:pPr>
        <w:spacing w:line="220" w:lineRule="atLeast"/>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第三部分  察隅县司法局2021年度部门预算数据分析</w:t>
      </w:r>
    </w:p>
    <w:p>
      <w:pPr>
        <w:rPr>
          <w:rFonts w:ascii="黑体" w:hAnsi="黑体" w:eastAsia="黑体"/>
          <w:sz w:val="32"/>
          <w:szCs w:val="32"/>
        </w:rPr>
      </w:pPr>
      <w:r>
        <w:rPr>
          <w:rFonts w:hint="eastAsia" w:ascii="黑体" w:hAnsi="黑体" w:eastAsia="黑体"/>
          <w:sz w:val="32"/>
          <w:szCs w:val="32"/>
        </w:rPr>
        <w:t>一、2021年部门收支总表的说明</w:t>
      </w:r>
    </w:p>
    <w:p>
      <w:pPr>
        <w:rPr>
          <w:rFonts w:ascii="宋体" w:hAnsi="宋体" w:eastAsia="宋体" w:cs="宋体"/>
          <w:color w:val="000000"/>
        </w:rPr>
      </w:pPr>
      <w:r>
        <w:rPr>
          <w:rFonts w:hint="eastAsia" w:ascii="仿宋" w:hAnsi="仿宋" w:eastAsia="仿宋"/>
          <w:sz w:val="32"/>
          <w:szCs w:val="32"/>
        </w:rPr>
        <w:t>2021年收支总预算418.64万元。收入包括：一般公共预算拨款收入、支出包括：一般公共服务支出、住房保障支出。</w:t>
      </w:r>
    </w:p>
    <w:p>
      <w:pPr>
        <w:rPr>
          <w:rFonts w:ascii="黑体" w:hAnsi="黑体" w:eastAsia="黑体"/>
          <w:sz w:val="32"/>
          <w:szCs w:val="32"/>
        </w:rPr>
      </w:pPr>
      <w:r>
        <w:rPr>
          <w:rFonts w:hint="eastAsia" w:ascii="黑体" w:hAnsi="黑体" w:eastAsia="黑体"/>
          <w:sz w:val="32"/>
          <w:szCs w:val="32"/>
        </w:rPr>
        <w:t>二、2021年度部门收入总表的说明</w:t>
      </w:r>
    </w:p>
    <w:p>
      <w:pPr>
        <w:rPr>
          <w:rFonts w:ascii="宋体" w:hAnsi="宋体" w:eastAsia="宋体" w:cs="宋体"/>
          <w:color w:val="000000"/>
        </w:rPr>
      </w:pPr>
      <w:r>
        <w:rPr>
          <w:rFonts w:hint="eastAsia" w:ascii="仿宋" w:hAnsi="仿宋" w:eastAsia="仿宋"/>
          <w:sz w:val="32"/>
          <w:szCs w:val="32"/>
        </w:rPr>
        <w:t>收入预算671.34万元，其中：上年结转252.7万元， 占 37.64%，一般公共预算拨款收入418.64万元，占62.36%。</w:t>
      </w:r>
    </w:p>
    <w:p>
      <w:pPr>
        <w:rPr>
          <w:rFonts w:ascii="黑体" w:hAnsi="黑体" w:eastAsia="黑体"/>
          <w:sz w:val="32"/>
          <w:szCs w:val="32"/>
        </w:rPr>
      </w:pPr>
      <w:r>
        <w:rPr>
          <w:rFonts w:hint="eastAsia" w:ascii="黑体" w:hAnsi="黑体" w:eastAsia="黑体"/>
          <w:sz w:val="32"/>
          <w:szCs w:val="32"/>
        </w:rPr>
        <w:t>三、2021年部门支出总表的说明</w:t>
      </w:r>
    </w:p>
    <w:p>
      <w:pPr>
        <w:rPr>
          <w:rFonts w:ascii="仿宋" w:hAnsi="仿宋" w:eastAsia="仿宋"/>
          <w:sz w:val="32"/>
          <w:szCs w:val="32"/>
        </w:rPr>
      </w:pPr>
      <w:r>
        <w:rPr>
          <w:rFonts w:hint="eastAsia" w:ascii="仿宋" w:hAnsi="仿宋" w:eastAsia="仿宋"/>
          <w:sz w:val="32"/>
          <w:szCs w:val="32"/>
        </w:rPr>
        <w:t>2021年支出预算418.64万元，其中：基本支出300.37万元，占71.75%；项目支出118.27万元，占 28.25  %。</w:t>
      </w:r>
    </w:p>
    <w:p>
      <w:pPr>
        <w:rPr>
          <w:rFonts w:ascii="黑体" w:hAnsi="黑体" w:eastAsia="黑体"/>
          <w:sz w:val="32"/>
          <w:szCs w:val="32"/>
        </w:rPr>
      </w:pPr>
      <w:r>
        <w:rPr>
          <w:rFonts w:hint="eastAsia" w:ascii="黑体" w:hAnsi="黑体" w:eastAsia="黑体"/>
          <w:sz w:val="32"/>
          <w:szCs w:val="32"/>
        </w:rPr>
        <w:t>四、2021年财政拨款收支总表的说明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2021年财政拨款收支总预算418.64万元。收入为一般公共预算拨款418.64万元，包括：公共安全支出418.6万元、上年结转252.7万元。</w:t>
      </w:r>
    </w:p>
    <w:p>
      <w:pPr>
        <w:rPr>
          <w:rFonts w:ascii="黑体" w:hAnsi="黑体" w:eastAsia="黑体"/>
          <w:sz w:val="32"/>
          <w:szCs w:val="32"/>
        </w:rPr>
      </w:pPr>
      <w:r>
        <w:rPr>
          <w:rFonts w:hint="eastAsia" w:ascii="黑体" w:hAnsi="黑体" w:eastAsia="黑体"/>
          <w:sz w:val="32"/>
          <w:szCs w:val="32"/>
        </w:rPr>
        <w:t>五、2021年一般公共预算支出表的说明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2021年一般公共预算当年拨款418.64万元,比20</w:t>
      </w:r>
      <w:r>
        <w:rPr>
          <w:rFonts w:ascii="仿宋" w:hAnsi="仿宋" w:eastAsia="仿宋"/>
          <w:sz w:val="32"/>
          <w:szCs w:val="32"/>
        </w:rPr>
        <w:t>20</w:t>
      </w:r>
      <w:r>
        <w:rPr>
          <w:rFonts w:hint="eastAsia" w:ascii="仿宋" w:hAnsi="仿宋" w:eastAsia="仿宋"/>
          <w:sz w:val="32"/>
          <w:szCs w:val="32"/>
        </w:rPr>
        <w:t xml:space="preserve"> 年执行数增加 78.3万元，主要原因：2021年度上级拨转移支付总资金增加。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一般公共服务支出418.64万元，占100%；</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1.一般公共服务支出（类）财政事务（款）行政运行（项）2021年预算数为418.64万元，比2020年执行数增加78.3万元，增长23.01 %。</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2.一般公共服务支出（类）财政事务（款）一般行政管理事务（项）2021年预算数为   万元，比2020 年执行数减少   万元，下降    %。主要是2021年度上级拨转移支付总资金增加。</w:t>
      </w:r>
    </w:p>
    <w:p>
      <w:pPr>
        <w:rPr>
          <w:rFonts w:ascii="黑体" w:hAnsi="黑体" w:eastAsia="黑体"/>
          <w:sz w:val="32"/>
          <w:szCs w:val="32"/>
        </w:rPr>
      </w:pP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2021年一般公共预算基本支出418.64万元，其中：</w:t>
      </w:r>
    </w:p>
    <w:p>
      <w:pPr>
        <w:rPr>
          <w:rFonts w:ascii="宋体" w:hAnsi="宋体" w:eastAsia="宋体" w:cs="宋体"/>
          <w:sz w:val="18"/>
          <w:szCs w:val="18"/>
        </w:rPr>
      </w:pPr>
      <w:r>
        <w:rPr>
          <w:rFonts w:hint="eastAsia" w:ascii="仿宋" w:hAnsi="仿宋" w:eastAsia="仿宋"/>
          <w:sz w:val="32"/>
          <w:szCs w:val="32"/>
        </w:rPr>
        <w:t>人员经费300.37万元，主要包括（以下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 20.27 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七、2021年度一般公共预算“三公”经费预算情况说明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2021年“三公”经费预算数为 3.9 万元，其中：</w:t>
      </w:r>
    </w:p>
    <w:p>
      <w:pPr>
        <w:ind w:firstLine="640" w:firstLineChars="200"/>
        <w:rPr>
          <w:rFonts w:ascii="仿宋" w:hAnsi="仿宋" w:eastAsia="仿宋"/>
          <w:sz w:val="32"/>
          <w:szCs w:val="32"/>
        </w:rPr>
      </w:pPr>
      <w:r>
        <w:rPr>
          <w:rFonts w:hint="eastAsia" w:ascii="仿宋" w:hAnsi="仿宋" w:eastAsia="仿宋"/>
          <w:sz w:val="32"/>
          <w:szCs w:val="32"/>
        </w:rPr>
        <w:t>1.因公出国（境）费 0  万元，</w:t>
      </w:r>
    </w:p>
    <w:p>
      <w:pPr>
        <w:ind w:firstLine="640" w:firstLineChars="200"/>
        <w:rPr>
          <w:rFonts w:ascii="仿宋" w:hAnsi="仿宋" w:eastAsia="仿宋"/>
          <w:sz w:val="32"/>
          <w:szCs w:val="32"/>
        </w:rPr>
      </w:pPr>
      <w:r>
        <w:rPr>
          <w:rFonts w:hint="eastAsia" w:ascii="仿宋" w:hAnsi="仿宋" w:eastAsia="仿宋"/>
          <w:sz w:val="32"/>
          <w:szCs w:val="32"/>
        </w:rPr>
        <w:t>2.公务用车购置费0万元，与上年相比持平；公务用车运行费 2.6  万元。</w:t>
      </w:r>
    </w:p>
    <w:p>
      <w:pPr>
        <w:ind w:firstLine="640" w:firstLineChars="200"/>
        <w:rPr>
          <w:rFonts w:ascii="宋体" w:hAnsi="宋体" w:eastAsia="宋体" w:cs="宋体"/>
          <w:color w:val="000000"/>
        </w:rPr>
      </w:pPr>
      <w:r>
        <w:rPr>
          <w:rFonts w:hint="eastAsia" w:ascii="仿宋" w:hAnsi="仿宋" w:eastAsia="仿宋"/>
          <w:sz w:val="32"/>
          <w:szCs w:val="32"/>
        </w:rPr>
        <w:t>3.公务接待费  1.3 万元。2021年“三公”经费预算比2020年减少 3.9  万元，压缩  100 %，主要原因是 本单位今年预算少  。</w:t>
      </w:r>
    </w:p>
    <w:p>
      <w:pPr>
        <w:ind w:firstLine="640" w:firstLineChars="200"/>
        <w:rPr>
          <w:rFonts w:ascii="仿宋" w:hAnsi="仿宋" w:eastAsia="仿宋"/>
          <w:sz w:val="32"/>
          <w:szCs w:val="32"/>
        </w:rPr>
      </w:pPr>
      <w:r>
        <w:rPr>
          <w:rFonts w:hint="eastAsia" w:ascii="仿宋" w:hAnsi="仿宋" w:eastAsia="仿宋"/>
          <w:sz w:val="32"/>
          <w:szCs w:val="32"/>
        </w:rPr>
        <w:t>因公出国（境） 0  团组、0   人，公务用车购置   辆、保有  2 量，国内公务接待  0 批次、 0  人。</w:t>
      </w:r>
    </w:p>
    <w:p>
      <w:pPr>
        <w:rPr>
          <w:rFonts w:ascii="黑体" w:hAnsi="黑体" w:eastAsia="黑体"/>
          <w:sz w:val="32"/>
          <w:szCs w:val="32"/>
        </w:rPr>
      </w:pPr>
      <w:r>
        <w:rPr>
          <w:rFonts w:hint="eastAsia" w:ascii="黑体" w:hAnsi="黑体" w:eastAsia="黑体"/>
          <w:sz w:val="32"/>
          <w:szCs w:val="32"/>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2021年政府性基金预算当年拨款</w:t>
      </w:r>
      <w:r>
        <w:rPr>
          <w:rFonts w:hint="eastAsia" w:ascii="FangSong_GB2312" w:hAnsi="Calibri" w:eastAsia="FangSong_GB2312" w:cs="FangSong_GB2312"/>
          <w:sz w:val="32"/>
          <w:szCs w:val="32"/>
        </w:rPr>
        <w:t xml:space="preserve">  0 </w:t>
      </w:r>
      <w:r>
        <w:rPr>
          <w:rFonts w:hint="eastAsia" w:ascii="仿宋" w:hAnsi="仿宋" w:eastAsia="仿宋"/>
          <w:sz w:val="32"/>
          <w:szCs w:val="32"/>
        </w:rPr>
        <w:t>万元,比2020年执行数减少</w:t>
      </w:r>
      <w:r>
        <w:rPr>
          <w:rFonts w:ascii="FangSong_GB2312" w:hAnsi="Calibri" w:eastAsia="FangSong_GB2312" w:cs="FangSong_GB2312"/>
          <w:sz w:val="32"/>
          <w:szCs w:val="32"/>
        </w:rPr>
        <w:t xml:space="preserve">  </w:t>
      </w:r>
      <w:r>
        <w:rPr>
          <w:rFonts w:hint="eastAsia" w:ascii="FangSong_GB2312" w:hAnsi="Calibri" w:eastAsia="FangSong_GB2312" w:cs="FangSong_GB2312"/>
          <w:sz w:val="32"/>
          <w:szCs w:val="32"/>
        </w:rPr>
        <w:t>0</w:t>
      </w:r>
      <w:r>
        <w:rPr>
          <w:rFonts w:ascii="FangSong_GB2312" w:hAnsi="Calibri" w:eastAsia="FangSong_GB2312" w:cs="FangSong_GB2312"/>
          <w:sz w:val="32"/>
          <w:szCs w:val="32"/>
        </w:rPr>
        <w:t xml:space="preserve"> </w:t>
      </w:r>
      <w:r>
        <w:rPr>
          <w:rFonts w:hint="eastAsia" w:ascii="仿宋" w:hAnsi="仿宋" w:eastAsia="仿宋"/>
          <w:sz w:val="32"/>
          <w:szCs w:val="32"/>
        </w:rPr>
        <w:t>万元。主要原因是我部门2021年度没有使用政府性基金安排的支出。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年部门县级司法局等1家行政单位的机关运行经费财政拨款预算3.9万元，比</w:t>
      </w:r>
      <w:r>
        <w:rPr>
          <w:rFonts w:ascii="仿宋" w:hAnsi="仿宋" w:eastAsia="仿宋"/>
          <w:sz w:val="32"/>
          <w:szCs w:val="32"/>
        </w:rPr>
        <w:t>2020</w:t>
      </w:r>
      <w:r>
        <w:rPr>
          <w:rFonts w:hint="eastAsia" w:ascii="仿宋" w:hAnsi="仿宋" w:eastAsia="仿宋"/>
          <w:sz w:val="32"/>
          <w:szCs w:val="32"/>
        </w:rPr>
        <w:t>年预算减少</w:t>
      </w:r>
      <w:r>
        <w:rPr>
          <w:rFonts w:ascii="仿宋" w:hAnsi="仿宋" w:eastAsia="仿宋"/>
          <w:sz w:val="32"/>
          <w:szCs w:val="32"/>
        </w:rPr>
        <w:t xml:space="preserve"> </w:t>
      </w:r>
      <w:r>
        <w:rPr>
          <w:rFonts w:hint="eastAsia" w:ascii="仿宋" w:hAnsi="仿宋" w:eastAsia="仿宋"/>
          <w:sz w:val="32"/>
          <w:szCs w:val="32"/>
        </w:rPr>
        <w:t>4.71万元，降低15.64</w:t>
      </w:r>
      <w:r>
        <w:rPr>
          <w:rFonts w:ascii="仿宋" w:hAnsi="仿宋" w:eastAsia="仿宋"/>
          <w:sz w:val="32"/>
          <w:szCs w:val="32"/>
        </w:rPr>
        <w:t>%</w:t>
      </w:r>
      <w:r>
        <w:rPr>
          <w:rFonts w:hint="eastAsia" w:ascii="仿宋" w:hAnsi="仿宋" w:eastAsia="仿宋"/>
          <w:sz w:val="32"/>
          <w:szCs w:val="32"/>
        </w:rPr>
        <w:t>。</w:t>
      </w:r>
    </w:p>
    <w:p>
      <w:pPr>
        <w:autoSpaceDE w:val="0"/>
        <w:autoSpaceDN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ind w:firstLine="640" w:firstLineChars="200"/>
        <w:rPr>
          <w:rFonts w:ascii="FangSong_GB2312" w:hAnsi="Calibri" w:eastAsia="FangSong_GB2312" w:cs="FangSong_GB2312"/>
          <w:sz w:val="32"/>
          <w:szCs w:val="32"/>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   万元，其中：政府采购货物预算 0  万元、政府采购工程预算  0 万元、政府采购服务预算 0  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  12 月底，本</w:t>
      </w:r>
      <w:r>
        <w:rPr>
          <w:rFonts w:ascii="仿宋" w:hAnsi="仿宋" w:eastAsia="仿宋"/>
          <w:sz w:val="32"/>
          <w:szCs w:val="32"/>
        </w:rPr>
        <w:t>部门</w:t>
      </w:r>
      <w:r>
        <w:rPr>
          <w:rFonts w:hint="eastAsia" w:ascii="仿宋" w:hAnsi="仿宋" w:eastAsia="仿宋"/>
          <w:sz w:val="32"/>
          <w:szCs w:val="32"/>
        </w:rPr>
        <w:t>及所属各预算单位共有车辆 2  辆，其中， 0  级领导干部用车（含在职和离退休部级干部用车）  0 辆、机要通信用车 0  辆、应急保障用车 0  辆、执法执勤用车  2 辆、特种专业技术用车   辆、其他用车  0 辆，其他用车主要是 0  用途的车辆。单位价值</w:t>
      </w:r>
      <w:r>
        <w:rPr>
          <w:rFonts w:ascii="仿宋" w:hAnsi="仿宋" w:eastAsia="仿宋"/>
          <w:sz w:val="32"/>
          <w:szCs w:val="32"/>
        </w:rPr>
        <w:t>50</w:t>
      </w:r>
      <w:r>
        <w:rPr>
          <w:rFonts w:hint="eastAsia" w:ascii="仿宋" w:hAnsi="仿宋" w:eastAsia="仿宋"/>
          <w:sz w:val="32"/>
          <w:szCs w:val="32"/>
        </w:rPr>
        <w:t>万元以上通用设备0台（套），单位价值</w:t>
      </w:r>
      <w:r>
        <w:rPr>
          <w:rFonts w:ascii="仿宋" w:hAnsi="仿宋" w:eastAsia="仿宋"/>
          <w:sz w:val="32"/>
          <w:szCs w:val="32"/>
        </w:rPr>
        <w:t>100</w:t>
      </w:r>
      <w:r>
        <w:rPr>
          <w:rFonts w:hint="eastAsia" w:ascii="仿宋" w:hAnsi="仿宋" w:eastAsia="仿宋"/>
          <w:sz w:val="32"/>
          <w:szCs w:val="32"/>
        </w:rPr>
        <w:t>万元以上专用设备  0 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ascii="楷体" w:hAnsi="楷体" w:eastAsia="楷体"/>
          <w:sz w:val="32"/>
          <w:szCs w:val="32"/>
        </w:rPr>
      </w:pPr>
      <w:r>
        <w:rPr>
          <w:rFonts w:hint="eastAsia" w:ascii="楷体" w:hAnsi="楷体" w:eastAsia="楷体"/>
          <w:sz w:val="32"/>
          <w:szCs w:val="32"/>
        </w:rPr>
        <w:t>2021年实现财政支出绩效目标管理全覆盖，实行绩效目标管理 0  个，资金 0  万元，其中：中央转移支付资金 0  万元，地方资金 0  万元。重点项目（见名词解释）实行绩效目标管理 0  个，分别是（项目名称  0 ，资金   万元；……），占年初项目支出预算总额的  0 %。</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1120" w:firstLineChars="350"/>
        <w:rPr>
          <w:rFonts w:ascii="FangSong_GB2312" w:hAnsi="Calibri" w:eastAsia="FangSong_GB2312" w:cs="FangSong_GB2312"/>
          <w:sz w:val="32"/>
          <w:szCs w:val="32"/>
        </w:rPr>
      </w:pPr>
      <w:r>
        <w:rPr>
          <w:rFonts w:hint="eastAsia" w:ascii="FangSong_GB2312" w:hAnsi="Calibri" w:eastAsia="FangSong_GB2312" w:cs="FangSong_GB2312"/>
          <w:sz w:val="32"/>
          <w:szCs w:val="32"/>
        </w:rPr>
        <w:t>无</w:t>
      </w:r>
    </w:p>
    <w:p>
      <w:pPr>
        <w:rPr>
          <w:rFonts w:ascii="仿宋" w:hAnsi="仿宋" w:eastAsia="仿宋"/>
          <w:sz w:val="32"/>
          <w:szCs w:val="32"/>
        </w:rPr>
      </w:pPr>
      <w:r>
        <w:rPr>
          <w:rFonts w:hint="eastAsia" w:ascii="楷体" w:hAnsi="楷体" w:eastAsia="楷体"/>
          <w:sz w:val="32"/>
          <w:szCs w:val="32"/>
        </w:rPr>
        <w:t>（六）政府债务情况。</w:t>
      </w:r>
    </w:p>
    <w:p>
      <w:pPr>
        <w:ind w:firstLine="1120" w:firstLineChars="350"/>
        <w:rPr>
          <w:rFonts w:ascii="FangSong_GB2312" w:hAnsi="Calibri" w:eastAsia="FangSong_GB2312" w:cs="FangSong_GB2312"/>
          <w:sz w:val="32"/>
          <w:szCs w:val="32"/>
        </w:rPr>
      </w:pPr>
      <w:r>
        <w:rPr>
          <w:rFonts w:hint="eastAsia" w:ascii="FangSong_GB2312" w:hAnsi="Calibri" w:eastAsia="FangSong_GB2312" w:cs="FangSong_GB2312"/>
          <w:sz w:val="32"/>
          <w:szCs w:val="32"/>
        </w:rPr>
        <w:t>无</w:t>
      </w:r>
    </w:p>
    <w:p>
      <w:pPr>
        <w:tabs>
          <w:tab w:val="left" w:pos="3600"/>
        </w:tabs>
        <w:spacing w:line="560" w:lineRule="exact"/>
        <w:rPr>
          <w:rFonts w:ascii="黑体" w:hAnsi="黑体" w:eastAsia="黑体"/>
          <w:b/>
          <w:snapToGrid w:val="0"/>
          <w:w w:val="95"/>
          <w:sz w:val="44"/>
          <w:szCs w:val="44"/>
        </w:rPr>
      </w:pPr>
      <w:r>
        <w:rPr>
          <w:rFonts w:ascii="黑体" w:hAnsi="黑体" w:eastAsia="黑体"/>
          <w:b/>
          <w:snapToGrid w:val="0"/>
          <w:w w:val="95"/>
          <w:sz w:val="44"/>
          <w:szCs w:val="44"/>
        </w:rPr>
        <w:tab/>
      </w:r>
    </w:p>
    <w:p>
      <w:pPr>
        <w:spacing w:after="0" w:line="560" w:lineRule="exact"/>
        <w:ind w:firstLine="835" w:firstLineChars="200"/>
        <w:jc w:val="center"/>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第四部分  名词解释</w:t>
      </w:r>
    </w:p>
    <w:p>
      <w:pPr>
        <w:spacing w:after="0" w:line="560" w:lineRule="exact"/>
        <w:ind w:firstLine="640" w:firstLineChars="200"/>
        <w:jc w:val="both"/>
        <w:rPr>
          <w:rFonts w:ascii="黑体" w:hAnsi="黑体" w:eastAsia="黑体" w:cs="黑体"/>
          <w:sz w:val="32"/>
          <w:szCs w:val="32"/>
        </w:rPr>
      </w:pPr>
    </w:p>
    <w:p>
      <w:pPr>
        <w:spacing w:after="0" w:line="560" w:lineRule="exact"/>
        <w:ind w:firstLine="640" w:firstLineChars="200"/>
        <w:jc w:val="both"/>
        <w:rPr>
          <w:rFonts w:ascii="FangSong_GB2312" w:hAnsi="宋体" w:eastAsia="FangSong_GB2312" w:cs="宋体"/>
          <w:sz w:val="32"/>
          <w:szCs w:val="32"/>
        </w:rPr>
      </w:pPr>
      <w:r>
        <w:rPr>
          <w:rFonts w:hint="eastAsia" w:ascii="黑体" w:hAnsi="黑体" w:eastAsia="黑体" w:cs="黑体"/>
          <w:sz w:val="32"/>
          <w:szCs w:val="32"/>
        </w:rPr>
        <w:t>一、一般公共预算拨款收入</w:t>
      </w:r>
      <w:r>
        <w:rPr>
          <w:rFonts w:hint="eastAsia" w:ascii="FangSong_GB2312" w:hAnsi="宋体" w:eastAsia="FangSong_GB2312" w:cs="宋体"/>
          <w:sz w:val="32"/>
          <w:szCs w:val="32"/>
        </w:rPr>
        <w:t>：指本级财政当年拨付的资金。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二、其他收入：</w:t>
      </w:r>
      <w:r>
        <w:rPr>
          <w:rFonts w:hint="eastAsia" w:ascii="FangSong_GB2312" w:hAnsi="仿宋" w:eastAsia="FangSong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三、上年结转：</w:t>
      </w:r>
      <w:r>
        <w:rPr>
          <w:rFonts w:hint="eastAsia" w:ascii="FangSong_GB2312" w:hAnsi="仿宋" w:eastAsia="FangSong_GB2312"/>
          <w:sz w:val="32"/>
          <w:szCs w:val="32"/>
        </w:rPr>
        <w:t>指以前年度安排、结转到本年仍按原规定用途继续使用的资金。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四、一般公共服务支出：</w:t>
      </w:r>
      <w:r>
        <w:rPr>
          <w:rFonts w:hint="eastAsia" w:ascii="FangSong_GB2312" w:hAnsi="仿宋" w:eastAsia="FangSong_GB2312"/>
          <w:sz w:val="32"/>
          <w:szCs w:val="32"/>
        </w:rPr>
        <w:t>反应政府提供一般公共服务的支出。</w:t>
      </w:r>
    </w:p>
    <w:p>
      <w:pPr>
        <w:autoSpaceDE w:val="0"/>
        <w:autoSpaceDN w:val="0"/>
        <w:spacing w:after="0" w:line="560" w:lineRule="exact"/>
        <w:ind w:firstLine="640" w:firstLineChars="200"/>
        <w:jc w:val="both"/>
        <w:rPr>
          <w:rFonts w:ascii="FangSong_GB2312" w:hAnsi="Calibri" w:eastAsia="FangSong_GB2312" w:cs="FangSong_GB2312"/>
          <w:sz w:val="32"/>
          <w:szCs w:val="32"/>
        </w:rPr>
      </w:pPr>
      <w:r>
        <w:rPr>
          <w:rFonts w:hint="eastAsia" w:ascii="黑体" w:hAnsi="黑体" w:eastAsia="黑体"/>
          <w:sz w:val="32"/>
          <w:szCs w:val="32"/>
        </w:rPr>
        <w:t>五、基本支出：</w:t>
      </w:r>
      <w:r>
        <w:rPr>
          <w:rFonts w:hint="eastAsia" w:ascii="FangSong_GB2312" w:hAnsi="仿宋" w:eastAsia="FangSong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六、项目支出：</w:t>
      </w:r>
      <w:r>
        <w:rPr>
          <w:rFonts w:hint="eastAsia" w:ascii="FangSong_GB2312" w:hAnsi="仿宋" w:eastAsia="FangSong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七、住房保障支出：</w:t>
      </w:r>
      <w:r>
        <w:rPr>
          <w:rFonts w:hint="eastAsia" w:ascii="FangSong_GB2312" w:hAnsi="仿宋" w:eastAsia="FangSong_GB2312"/>
          <w:sz w:val="32"/>
          <w:szCs w:val="32"/>
        </w:rPr>
        <w:t>集中反映政府用于住房方面的支出。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FangSong_GB2312" w:hAnsi="仿宋" w:eastAsia="FangSong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FangSong_GB2312" w:hAnsi="宋体" w:eastAsia="FangSong_GB2312"/>
          <w:sz w:val="32"/>
          <w:szCs w:val="32"/>
        </w:rPr>
      </w:pPr>
      <w:r>
        <w:rPr>
          <w:rFonts w:hint="eastAsia" w:ascii="黑体" w:hAnsi="黑体" w:eastAsia="黑体" w:cs="黑体"/>
          <w:sz w:val="32"/>
          <w:szCs w:val="32"/>
        </w:rPr>
        <w:t>九、“三公”经费：</w:t>
      </w:r>
      <w:r>
        <w:rPr>
          <w:rFonts w:hint="eastAsia" w:ascii="FangSong_GB2312" w:hAnsi="宋体" w:eastAsia="FangSong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十、重点项目：</w:t>
      </w:r>
      <w:r>
        <w:rPr>
          <w:rFonts w:hint="eastAsia" w:ascii="FangSong_GB2312" w:hAnsi="仿宋" w:eastAsia="FangSong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ind w:firstLine="1"/>
        <w:jc w:val="cente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Calibri">
    <w:panose1 w:val="020F0502020204030204"/>
    <w:charset w:val="00"/>
    <w:family w:val="auto"/>
    <w:pitch w:val="default"/>
    <w:sig w:usb0="E10002FF" w:usb1="4000ACFF" w:usb2="00000009" w:usb3="00000000" w:csb0="2000019F" w:csb1="00000000"/>
  </w:font>
  <w:font w:name="FangSong_GB2312">
    <w:altName w:val="仿宋_GB2312"/>
    <w:panose1 w:val="0201060906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nhideWhenUsed/>
    <w:uiPriority w:val="1"/>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5">
    <w:name w:val="List Paragraph"/>
    <w:basedOn w:val="1"/>
    <w:qFormat/>
    <w:uiPriority w:val="34"/>
    <w:pPr>
      <w:ind w:firstLine="420" w:firstLineChars="200"/>
    </w:pPr>
  </w:style>
  <w:style w:type="paragraph" w:customStyle="1" w:styleId="6">
    <w:name w:val="List Paragraph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706</Words>
  <Characters>4025</Characters>
  <Lines>33</Lines>
  <Paragraphs>9</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2023-04-20T08:51:32Z</dcterms:modified>
  <dc:title>察隅县司法局2021年度部门预算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