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察隅县市场监督管理局</w:t>
      </w:r>
      <w:r>
        <w:rPr>
          <w:rFonts w:ascii="黑体" w:eastAsia="黑体"/>
          <w:b/>
          <w:sz w:val="52"/>
          <w:szCs w:val="52"/>
        </w:rPr>
        <w:t>202</w:t>
      </w:r>
      <w:r>
        <w:rPr>
          <w:rFonts w:hint="eastAsia" w:ascii="黑体" w:eastAsia="黑体"/>
          <w:b/>
          <w:sz w:val="52"/>
          <w:szCs w:val="52"/>
        </w:rPr>
        <w:t>1年度部门预算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0" w:name="_GoBack"/>
      <w:bookmarkEnd w:id="0"/>
    </w:p>
    <w:p>
      <w:pPr>
        <w:rPr>
          <w:sz w:val="44"/>
          <w:szCs w:val="44"/>
        </w:rPr>
      </w:pPr>
    </w:p>
    <w:p>
      <w:pPr>
        <w:rPr>
          <w:sz w:val="44"/>
          <w:szCs w:val="44"/>
        </w:rPr>
      </w:pPr>
    </w:p>
    <w:p>
      <w:pPr>
        <w:rPr>
          <w:sz w:val="44"/>
          <w:szCs w:val="44"/>
        </w:rPr>
      </w:pPr>
    </w:p>
    <w:p>
      <w:pPr>
        <w:jc w:val="center"/>
        <w:rPr>
          <w:rFonts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2021</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2</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1</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日</w:t>
      </w:r>
    </w:p>
    <w:p>
      <w:pPr>
        <w:rPr>
          <w:sz w:val="44"/>
          <w:szCs w:val="44"/>
        </w:rPr>
      </w:pPr>
    </w:p>
    <w:p>
      <w:pPr>
        <w:rPr>
          <w:sz w:val="44"/>
          <w:szCs w:val="44"/>
        </w:rPr>
      </w:pPr>
    </w:p>
    <w:p>
      <w:pPr>
        <w:adjustRightInd/>
        <w:snapToGrid/>
        <w:spacing w:after="0"/>
        <w:rPr>
          <w:rFonts w:ascii="黑体" w:hAnsi="黑体" w:eastAsia="黑体"/>
          <w:b/>
          <w:snapToGrid w:val="0"/>
          <w:w w:val="95"/>
          <w:sz w:val="44"/>
          <w:szCs w:val="44"/>
        </w:rPr>
      </w:pPr>
    </w:p>
    <w:p>
      <w:pPr>
        <w:adjustRightInd/>
        <w:snapToGrid/>
        <w:spacing w:after="0"/>
        <w:rPr>
          <w:rFonts w:ascii="黑体" w:hAnsi="黑体" w:eastAsia="黑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  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第二部分部门2021年度部门预算明细表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第三部分部门2021年度部门预算数据分析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FangSong_GB2312" w:hAnsi="宋体" w:eastAsia="FangSong_GB2312"/>
          <w:b/>
          <w:snapToGrid w:val="0"/>
          <w:w w:val="95"/>
          <w:sz w:val="36"/>
          <w:szCs w:val="36"/>
        </w:rPr>
      </w:pPr>
    </w:p>
    <w:p>
      <w:pPr>
        <w:rPr>
          <w:rFonts w:ascii="宋体" w:hAnsi="宋体"/>
          <w:b/>
          <w:snapToGrid w:val="0"/>
          <w:w w:val="95"/>
          <w:sz w:val="44"/>
          <w:szCs w:val="44"/>
        </w:rPr>
      </w:pPr>
    </w:p>
    <w:p>
      <w:pPr>
        <w:spacing w:line="560" w:lineRule="exact"/>
        <w:jc w:val="center"/>
        <w:rPr>
          <w:rFonts w:ascii="黑体" w:hAnsi="黑体" w:eastAsia="黑体" w:cs="Times New Roman"/>
          <w:b/>
          <w:snapToGrid w:val="0"/>
          <w:w w:val="95"/>
          <w:sz w:val="44"/>
          <w:szCs w:val="44"/>
        </w:rPr>
      </w:pPr>
      <w:r>
        <w:rPr>
          <w:rFonts w:hint="eastAsia" w:ascii="黑体" w:hAnsi="黑体" w:eastAsia="黑体"/>
          <w:b/>
          <w:snapToGrid w:val="0"/>
          <w:w w:val="95"/>
          <w:sz w:val="44"/>
          <w:szCs w:val="44"/>
        </w:rPr>
        <w:t>第一部分察隅县市场监督管理局概况</w:t>
      </w:r>
    </w:p>
    <w:p>
      <w:pPr>
        <w:spacing w:line="560" w:lineRule="exact"/>
        <w:jc w:val="center"/>
        <w:rPr>
          <w:rFonts w:ascii="黑体" w:hAnsi="黑体" w:eastAsia="黑体" w:cs="Times New Roman"/>
          <w:b/>
          <w:snapToGrid w:val="0"/>
          <w:w w:val="95"/>
          <w:sz w:val="44"/>
          <w:szCs w:val="44"/>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（一）部门职责</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（一）贯彻执行国家、自治区及地区药品、医疗器械、保健食品、化妆品和餐饮服务环节食品药品安全监督管理的方针、政策和法律、法规、规章；监督并实施地方性相关法规规章。</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（二）负责消费环节食品卫生许可和食品安全监督管理。</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（三）监督实施消费环节食品安全管理规范，开展消费环节食品安全状况调查和监测工作，发布与消费环节食品安全监管有关的信息。</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（四）根据权限负责化妆品卫生许可、监督管理和有关化妆品的初审工作。</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（五）负责药品、医疗器械行政监督和技术监督，监督实施药品和医疗器械研制、生产、流通、使用方面的质量管理规范；负责核发药品、医疗器械许可证（零售）。</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六）负责医疗机构制剂的初审监督管理；负责药品的再评价、淘汰的初审；负责药品不良反应、药品广告监测；监督实施国家药品标准。配合有关部门实施国家基本药物制度，组织实施处方药和非处方药分类管理制度。</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（七）组织开展医疗器械的再评价、淘汰、不良事件监测；医疗器械广告的监督管理和监测；监督实施医疗器械产品国家标准、行业标准。</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（八）组织实施藏（中）药监督管理规范，监督实施藏（中）药材生产质量管理规范、藏（中）药饮片炮制规范，组织实施藏（中）药品种保护制度。</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（九）监督管理药品、医疗器械质量安全，监督管理放射性药品、麻醉药品、毒性药品及精神药品；发布药品、医疗器械质量安全的有关信息。</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（十）负责监督药品、医疗器械、化妆品和消费环节食品质量；组织查处药品、医疗器械、化妆品和消费环节食品的研制、生产、流通、使用方面的违法行为。</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（十一）开展与食品药品监督管理有关的对外交流与合作。</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（十二）负责执业药师资格准入和继续教育工作，会同有关部门实施执业药师资格制度。</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（十三）对药品销售人员实施监督管理；依法对药品从业人员的健康情况实施监督。</w:t>
      </w:r>
    </w:p>
    <w:p>
      <w:pPr>
        <w:spacing w:line="56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 xml:space="preserve">（十四）负责有关行政复议受理和行政应诉工作。 </w:t>
      </w:r>
    </w:p>
    <w:p>
      <w:pPr>
        <w:spacing w:line="58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（十五）承办县卫生局交办的其他事项。</w:t>
      </w:r>
    </w:p>
    <w:p>
      <w:pPr>
        <w:spacing w:line="580" w:lineRule="exact"/>
        <w:ind w:firstLine="640" w:firstLineChars="200"/>
        <w:rPr>
          <w:rFonts w:ascii="FangSong_GB2312" w:hAnsi="Courier New" w:eastAsia="FangSong_GB2312" w:cs="Courier New"/>
          <w:sz w:val="32"/>
          <w:szCs w:val="32"/>
        </w:rPr>
      </w:pPr>
      <w:r>
        <w:rPr>
          <w:rFonts w:hint="eastAsia" w:ascii="FangSong_GB2312" w:hAnsi="Courier New" w:eastAsia="FangSong_GB2312" w:cs="Courier New"/>
          <w:sz w:val="32"/>
          <w:szCs w:val="32"/>
        </w:rPr>
        <w:t>（二）部门机构设置</w:t>
      </w:r>
    </w:p>
    <w:p>
      <w:pPr>
        <w:spacing w:line="560" w:lineRule="exact"/>
        <w:ind w:firstLine="640" w:firstLineChars="200"/>
        <w:rPr>
          <w:rFonts w:ascii="FangSong_GB2312" w:hAnsi="宋体" w:eastAsia="FangSong_GB2312"/>
          <w:sz w:val="32"/>
          <w:szCs w:val="32"/>
        </w:rPr>
      </w:pPr>
      <w:r>
        <w:rPr>
          <w:rFonts w:hint="eastAsia" w:ascii="FangSong_GB2312" w:hAnsi="仿宋" w:eastAsia="FangSong_GB2312"/>
          <w:color w:val="000000"/>
          <w:sz w:val="32"/>
          <w:szCs w:val="32"/>
        </w:rPr>
        <w:t>察隅县食品药品监督管理局</w:t>
      </w:r>
      <w:r>
        <w:rPr>
          <w:rFonts w:hint="eastAsia" w:ascii="FangSong_GB2312" w:hAnsi="宋体" w:eastAsia="FangSong_GB2312"/>
          <w:sz w:val="32"/>
          <w:szCs w:val="32"/>
        </w:rPr>
        <w:t>，无其他内设机构。</w:t>
      </w:r>
    </w:p>
    <w:p>
      <w:pPr>
        <w:ind w:left="426"/>
        <w:rPr>
          <w:rFonts w:ascii="黑体" w:hAnsi="仿宋" w:eastAsia="黑体"/>
          <w:color w:val="000000"/>
          <w:sz w:val="32"/>
          <w:szCs w:val="32"/>
        </w:rPr>
      </w:pPr>
      <w:r>
        <w:rPr>
          <w:rFonts w:hint="eastAsia" w:ascii="黑体" w:hAnsi="仿宋" w:eastAsia="黑体"/>
          <w:color w:val="000000"/>
          <w:sz w:val="32"/>
          <w:szCs w:val="32"/>
        </w:rPr>
        <w:t>二、部门预算单位构成</w:t>
      </w:r>
    </w:p>
    <w:p>
      <w:pPr>
        <w:ind w:firstLine="640" w:firstLineChars="200"/>
        <w:rPr>
          <w:rFonts w:ascii="仿宋" w:hAnsi="仿宋" w:eastAsia="仿宋" w:cs="仿宋"/>
          <w:sz w:val="32"/>
          <w:szCs w:val="32"/>
        </w:rPr>
      </w:pPr>
      <w:r>
        <w:rPr>
          <w:rFonts w:hint="eastAsia" w:ascii="仿宋" w:hAnsi="仿宋" w:eastAsia="仿宋" w:cs="仿宋"/>
          <w:sz w:val="32"/>
          <w:szCs w:val="32"/>
        </w:rPr>
        <w:t>察隅县原食药局和原工商机构改革合署办公，正科级建制，为县人民政府工作部门。</w:t>
      </w:r>
    </w:p>
    <w:p>
      <w:pPr>
        <w:spacing w:line="560" w:lineRule="exact"/>
        <w:ind w:firstLine="640" w:firstLineChars="200"/>
        <w:rPr>
          <w:rFonts w:ascii="FangSong_GB2312" w:hAnsi="宋体" w:eastAsia="FangSong_GB2312"/>
          <w:sz w:val="32"/>
          <w:szCs w:val="32"/>
        </w:rPr>
      </w:pPr>
    </w:p>
    <w:p>
      <w:pPr>
        <w:spacing w:line="560" w:lineRule="exact"/>
        <w:jc w:val="center"/>
        <w:rPr>
          <w:rFonts w:ascii="FangSong_GB2312" w:hAnsi="FangSong_GB2312" w:eastAsia="FangSong_GB2312" w:cs="FangSong_GB2312"/>
          <w:sz w:val="32"/>
          <w:szCs w:val="32"/>
        </w:rPr>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第二部分  察隅县市场监督管理局2021年度部门预算明细表（详见附件）</w:t>
      </w:r>
    </w:p>
    <w:p>
      <w:pPr>
        <w:spacing w:line="560" w:lineRule="exact"/>
        <w:jc w:val="center"/>
        <w:rPr>
          <w:rFonts w:ascii="黑体" w:hAnsi="黑体" w:eastAsia="黑体"/>
          <w:b/>
          <w:snapToGrid w:val="0"/>
          <w:w w:val="95"/>
          <w:sz w:val="44"/>
          <w:szCs w:val="44"/>
        </w:rPr>
      </w:pP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220" w:lineRule="atLeast"/>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第三部分  察隅县市场监督管理局2021年度部门预算数据分析</w:t>
      </w: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 381.92万元。收入包括：一般公共预算拨款收入；支出包括：一般公共服务支出、卫生健康支出。</w:t>
      </w:r>
    </w:p>
    <w:p>
      <w:pPr>
        <w:rPr>
          <w:rFonts w:ascii="黑体" w:hAnsi="黑体" w:eastAsia="黑体"/>
          <w:sz w:val="32"/>
          <w:szCs w:val="32"/>
        </w:rPr>
      </w:pP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收入预算414.87万元，其中：上年结转 32.95万元， 占 7.94%一般公共预算拨款收入381.92万元，占 92.06%。</w:t>
      </w:r>
    </w:p>
    <w:p>
      <w:pPr>
        <w:rPr>
          <w:rFonts w:ascii="黑体" w:hAnsi="黑体" w:eastAsia="黑体"/>
          <w:sz w:val="32"/>
          <w:szCs w:val="32"/>
        </w:rPr>
      </w:pP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  381.92万元，其中：基本支出   194.52万元，占 50.93%；项目支出 187.4万元，占 49.07%。</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2021年财政拨款收支总预算381.92万元。收入为一般公共预算拨款，包括：一般公共预算当年拨款收入   万元；支出包括：一般公共服务支出  381.92万元。</w:t>
      </w:r>
    </w:p>
    <w:p>
      <w:pPr>
        <w:rPr>
          <w:rFonts w:ascii="黑体" w:hAnsi="黑体" w:eastAsia="黑体"/>
          <w:sz w:val="32"/>
          <w:szCs w:val="32"/>
        </w:rPr>
      </w:pP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2021年一般公共预算当年拨款381.92万元,比20</w:t>
      </w:r>
      <w:r>
        <w:rPr>
          <w:rFonts w:ascii="仿宋" w:hAnsi="仿宋" w:eastAsia="仿宋"/>
          <w:sz w:val="32"/>
          <w:szCs w:val="32"/>
        </w:rPr>
        <w:t>20</w:t>
      </w:r>
      <w:r>
        <w:rPr>
          <w:rFonts w:hint="eastAsia" w:ascii="仿宋" w:hAnsi="仿宋" w:eastAsia="仿宋"/>
          <w:sz w:val="32"/>
          <w:szCs w:val="32"/>
        </w:rPr>
        <w:t xml:space="preserve"> 年执行数减少 111.23万元，主要原因：2021年偿还以前年度政府债务，大多数单位经费相对减少。</w:t>
      </w:r>
    </w:p>
    <w:p>
      <w:pPr>
        <w:ind w:firstLine="640" w:firstLineChars="200"/>
        <w:rPr>
          <w:rFonts w:ascii="仿宋" w:hAnsi="仿宋" w:eastAsia="仿宋"/>
          <w:sz w:val="32"/>
          <w:szCs w:val="32"/>
        </w:rPr>
      </w:pP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例如：一般公共服务支出381.92万元，占 100  %；.</w:t>
      </w:r>
    </w:p>
    <w:p>
      <w:pPr>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1.一般公共服务支出（类）财政事务（款）行政运行（项）2021年预算数为381.92万元，比2020年执行数减少111.23万元，下降 41.09%。主要是2021年偿还以前年度政府债务，大多数单位经费相对减少。</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2.一般公共服务支出（类）财政事务（款）一般行政管理事务（项）2021年预算数为381.92万元，比2020 年执行数减少111.23万元，下降 41.09%。主要是2021年偿还以前年度政府债务，大多数单位经费相对减少。</w:t>
      </w:r>
    </w:p>
    <w:p>
      <w:pPr>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例如：2021年一般公共预算基本支出194.52万元，其中：</w:t>
      </w:r>
    </w:p>
    <w:p>
      <w:pPr>
        <w:ind w:firstLine="640" w:firstLineChars="200"/>
        <w:rPr>
          <w:rFonts w:ascii="仿宋" w:hAnsi="仿宋" w:eastAsia="仿宋"/>
          <w:sz w:val="32"/>
          <w:szCs w:val="32"/>
        </w:rPr>
      </w:pPr>
      <w:r>
        <w:rPr>
          <w:rFonts w:hint="eastAsia" w:ascii="仿宋" w:hAnsi="仿宋" w:eastAsia="仿宋"/>
          <w:sz w:val="32"/>
          <w:szCs w:val="32"/>
        </w:rPr>
        <w:t>人员经费176.42万元，主要包括（以下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公用经费18.1万元，主要包括（以下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 3.69万元，其中：因公出国（境）费  0 万元，公务用车购置费0万元，与去年相比持平；公务用车运行费  2.16 万元，公务接待费 1.53  万元。2021年“三公”经费预算比2020年增加 1.89万元，增长 64.52%，主要原因是今年本单位人数增加，预算增加。</w:t>
      </w:r>
    </w:p>
    <w:p>
      <w:pPr>
        <w:ind w:firstLine="640" w:firstLineChars="200"/>
        <w:rPr>
          <w:rFonts w:ascii="仿宋" w:hAnsi="仿宋" w:eastAsia="仿宋"/>
          <w:sz w:val="32"/>
          <w:szCs w:val="32"/>
        </w:rPr>
      </w:pPr>
      <w:r>
        <w:rPr>
          <w:rFonts w:hint="eastAsia" w:ascii="仿宋" w:hAnsi="仿宋" w:eastAsia="仿宋"/>
          <w:sz w:val="32"/>
          <w:szCs w:val="32"/>
        </w:rPr>
        <w:t>因公出国（境） 0  团组、0   人，公务用车购置   辆、保有 2  量，国内公务接待  0 批次、 0  人。</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  0 万元,比2020年执行数减少</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 xml:space="preserve"> </w:t>
      </w:r>
      <w:r>
        <w:rPr>
          <w:rFonts w:hint="eastAsia" w:ascii="仿宋" w:hAnsi="仿宋" w:eastAsia="仿宋"/>
          <w:sz w:val="32"/>
          <w:szCs w:val="32"/>
        </w:rPr>
        <w:t>万元，主要原因：我部门2021年度没有使用政府性基金安排的支出。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：2021</w:t>
      </w:r>
      <w:r>
        <w:rPr>
          <w:rFonts w:hint="eastAsia" w:ascii="仿宋" w:hAnsi="仿宋" w:eastAsia="仿宋"/>
          <w:sz w:val="32"/>
          <w:szCs w:val="32"/>
        </w:rPr>
        <w:t>年部门县级市监局 1 家行政单位的机关运行经费财政拨款预算</w:t>
      </w:r>
      <w:r>
        <w:rPr>
          <w:rFonts w:ascii="仿宋" w:hAnsi="仿宋" w:eastAsia="仿宋"/>
          <w:sz w:val="32"/>
          <w:szCs w:val="32"/>
        </w:rPr>
        <w:t xml:space="preserve"> </w:t>
      </w:r>
      <w:r>
        <w:rPr>
          <w:rFonts w:hint="eastAsia" w:ascii="仿宋" w:hAnsi="仿宋" w:eastAsia="仿宋"/>
          <w:sz w:val="32"/>
          <w:szCs w:val="32"/>
        </w:rPr>
        <w:t>3.69万元，比</w:t>
      </w:r>
      <w:r>
        <w:rPr>
          <w:rFonts w:ascii="仿宋" w:hAnsi="仿宋" w:eastAsia="仿宋"/>
          <w:sz w:val="32"/>
          <w:szCs w:val="32"/>
        </w:rPr>
        <w:t>2020</w:t>
      </w:r>
      <w:r>
        <w:rPr>
          <w:rFonts w:hint="eastAsia" w:ascii="仿宋" w:hAnsi="仿宋" w:eastAsia="仿宋"/>
          <w:sz w:val="32"/>
          <w:szCs w:val="32"/>
        </w:rPr>
        <w:t>年预算增加 4.05  万元，增长 264.71%，主要原因是今年本单位人数增加，预算增加。</w:t>
      </w:r>
    </w:p>
    <w:p>
      <w:pPr>
        <w:autoSpaceDE w:val="0"/>
        <w:autoSpaceDN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   万元，其中：政府采购货物预算 0  万元、政府采购工程预算  0 万元、政府采购服务预算 0  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年12 月底，本</w:t>
      </w:r>
      <w:r>
        <w:rPr>
          <w:rFonts w:ascii="仿宋" w:hAnsi="仿宋" w:eastAsia="仿宋"/>
          <w:sz w:val="32"/>
          <w:szCs w:val="32"/>
        </w:rPr>
        <w:t>部门</w:t>
      </w:r>
      <w:r>
        <w:rPr>
          <w:rFonts w:hint="eastAsia" w:ascii="仿宋" w:hAnsi="仿宋" w:eastAsia="仿宋"/>
          <w:sz w:val="32"/>
          <w:szCs w:val="32"/>
        </w:rPr>
        <w:t>及所属各预算单位共有车辆  2 辆，其中，0 级领导干部用车（含在职和离退休部级干部用车）  0 辆、机要通信用车  0 辆、应急保障用车 0  辆、执法执勤用车  0 辆、特种专业技术用车 0  辆、其他用车  2 辆，其他用车主要是单位所有人员下乡和出差用途的车辆。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2021年实现财政支出绩效目标管理全覆盖，实行绩效目标管理  0 个，资金  0 万元，其中：中央转移支付资金 0  万元，地方资金  0 万元。实行绩效目标管理   0个，分别是（项目名称  0 ，资金 0  万元），占年初项目支出预算总额的 0  %。</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楷体" w:hAnsi="楷体" w:eastAsia="楷体"/>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ind w:firstLine="1120" w:firstLineChars="350"/>
        <w:rPr>
          <w:rFonts w:ascii="仿宋" w:hAnsi="仿宋" w:eastAsia="仿宋"/>
          <w:sz w:val="32"/>
          <w:szCs w:val="32"/>
        </w:rPr>
      </w:pPr>
      <w:r>
        <w:rPr>
          <w:rFonts w:hint="eastAsia" w:ascii="楷体" w:hAnsi="楷体" w:eastAsia="楷体"/>
          <w:sz w:val="32"/>
          <w:szCs w:val="32"/>
        </w:rPr>
        <w:t>无</w:t>
      </w:r>
    </w:p>
    <w:p>
      <w:pPr>
        <w:spacing w:line="560" w:lineRule="exact"/>
        <w:rPr>
          <w:rFonts w:ascii="黑体" w:hAnsi="黑体" w:eastAsia="黑体"/>
          <w:b/>
          <w:snapToGrid w:val="0"/>
          <w:w w:val="95"/>
          <w:sz w:val="44"/>
          <w:szCs w:val="44"/>
        </w:rPr>
      </w:pPr>
    </w:p>
    <w:p>
      <w:pPr>
        <w:spacing w:after="0" w:line="560" w:lineRule="exact"/>
        <w:ind w:firstLine="835" w:firstLineChars="200"/>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第四部分  名词解释</w:t>
      </w:r>
    </w:p>
    <w:p>
      <w:pPr>
        <w:spacing w:after="0" w:line="560" w:lineRule="exact"/>
        <w:ind w:firstLine="640" w:firstLineChars="200"/>
        <w:jc w:val="both"/>
        <w:rPr>
          <w:rFonts w:ascii="黑体" w:hAnsi="黑体" w:eastAsia="黑体" w:cs="黑体"/>
          <w:sz w:val="32"/>
          <w:szCs w:val="32"/>
        </w:rPr>
      </w:pPr>
    </w:p>
    <w:p>
      <w:pPr>
        <w:spacing w:after="0" w:line="560" w:lineRule="exact"/>
        <w:ind w:firstLine="640" w:firstLineChars="200"/>
        <w:jc w:val="both"/>
        <w:rPr>
          <w:rFonts w:ascii="FangSong_GB2312" w:hAnsi="宋体" w:eastAsia="FangSong_GB2312" w:cs="宋体"/>
          <w:sz w:val="32"/>
          <w:szCs w:val="32"/>
        </w:rPr>
      </w:pPr>
      <w:r>
        <w:rPr>
          <w:rFonts w:hint="eastAsia" w:ascii="黑体" w:hAnsi="黑体" w:eastAsia="黑体" w:cs="黑体"/>
          <w:sz w:val="32"/>
          <w:szCs w:val="32"/>
        </w:rPr>
        <w:t>一、一般公共预算拨款收入</w:t>
      </w:r>
      <w:r>
        <w:rPr>
          <w:rFonts w:hint="eastAsia" w:ascii="FangSong_GB2312" w:hAnsi="宋体" w:eastAsia="FangSong_GB2312" w:cs="宋体"/>
          <w:sz w:val="32"/>
          <w:szCs w:val="32"/>
        </w:rPr>
        <w:t>：指本级财政当年拨付的资金。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二、其他收入：</w:t>
      </w:r>
      <w:r>
        <w:rPr>
          <w:rFonts w:hint="eastAsia" w:ascii="FangSong_GB2312" w:hAnsi="仿宋" w:eastAsia="FangSong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三、上年结转：</w:t>
      </w:r>
      <w:r>
        <w:rPr>
          <w:rFonts w:hint="eastAsia" w:ascii="FangSong_GB2312" w:hAnsi="仿宋" w:eastAsia="FangSong_GB2312"/>
          <w:sz w:val="32"/>
          <w:szCs w:val="32"/>
        </w:rPr>
        <w:t>指以前年度安排、结转到本年仍按原规定用途继续使用的资金。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四、一般公共服务支出：</w:t>
      </w:r>
      <w:r>
        <w:rPr>
          <w:rFonts w:hint="eastAsia" w:ascii="FangSong_GB2312" w:hAnsi="仿宋" w:eastAsia="FangSong_GB2312"/>
          <w:sz w:val="32"/>
          <w:szCs w:val="32"/>
        </w:rPr>
        <w:t>反应政府提供一般公共服务的支出。</w:t>
      </w:r>
    </w:p>
    <w:p>
      <w:pPr>
        <w:autoSpaceDE w:val="0"/>
        <w:autoSpaceDN w:val="0"/>
        <w:spacing w:after="0" w:line="560" w:lineRule="exact"/>
        <w:ind w:firstLine="640" w:firstLineChars="200"/>
        <w:jc w:val="both"/>
        <w:rPr>
          <w:rFonts w:ascii="FangSong_GB2312" w:hAnsi="Calibri" w:eastAsia="FangSong_GB2312" w:cs="FangSong_GB2312"/>
          <w:sz w:val="32"/>
          <w:szCs w:val="32"/>
        </w:rPr>
      </w:pPr>
      <w:r>
        <w:rPr>
          <w:rFonts w:hint="eastAsia" w:ascii="黑体" w:hAnsi="黑体" w:eastAsia="黑体"/>
          <w:sz w:val="32"/>
          <w:szCs w:val="32"/>
        </w:rPr>
        <w:t>五、基本支出：</w:t>
      </w:r>
      <w:r>
        <w:rPr>
          <w:rFonts w:hint="eastAsia" w:ascii="FangSong_GB2312" w:hAnsi="仿宋" w:eastAsia="FangSong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六、项目支出：</w:t>
      </w:r>
      <w:r>
        <w:rPr>
          <w:rFonts w:hint="eastAsia" w:ascii="FangSong_GB2312" w:hAnsi="仿宋" w:eastAsia="FangSong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七、住房保障支出：</w:t>
      </w:r>
      <w:r>
        <w:rPr>
          <w:rFonts w:hint="eastAsia" w:ascii="FangSong_GB2312" w:hAnsi="仿宋" w:eastAsia="FangSong_GB2312"/>
          <w:sz w:val="32"/>
          <w:szCs w:val="32"/>
        </w:rPr>
        <w:t>集中反映政府用于住房方面的支出。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FangSong_GB2312" w:hAnsi="仿宋" w:eastAsia="FangSong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FangSong_GB2312" w:hAnsi="宋体" w:eastAsia="FangSong_GB2312"/>
          <w:sz w:val="32"/>
          <w:szCs w:val="32"/>
        </w:rPr>
      </w:pPr>
      <w:r>
        <w:rPr>
          <w:rFonts w:hint="eastAsia" w:ascii="黑体" w:hAnsi="黑体" w:eastAsia="黑体" w:cs="黑体"/>
          <w:sz w:val="32"/>
          <w:szCs w:val="32"/>
        </w:rPr>
        <w:t>九、“三公”经费：</w:t>
      </w:r>
      <w:r>
        <w:rPr>
          <w:rFonts w:hint="eastAsia" w:ascii="FangSong_GB2312" w:hAnsi="宋体" w:eastAsia="FangSong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十、重点项目：</w:t>
      </w:r>
      <w:r>
        <w:rPr>
          <w:rFonts w:hint="eastAsia" w:ascii="FangSong_GB2312" w:hAnsi="仿宋" w:eastAsia="FangSong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ind w:firstLine="2890" w:firstLineChars="344"/>
        <w:rPr>
          <w:sz w:val="84"/>
          <w:szCs w:val="8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auto"/>
    <w:pitch w:val="default"/>
    <w:sig w:usb0="00000001" w:usb1="080E0000" w:usb2="00000010" w:usb3="00000000" w:csb0="00040000" w:csb1="00000000"/>
  </w:font>
  <w:font w:name="方正小标宋简体">
    <w:altName w:val="微软雅黑"/>
    <w:panose1 w:val="02010601030101010101"/>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paragraph" w:styleId="2">
    <w:name w:val="Plain Text"/>
    <w:basedOn w:val="1"/>
    <w:qFormat/>
    <w:uiPriority w:val="0"/>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667</Words>
  <Characters>3805</Characters>
  <Lines>31</Lines>
  <Paragraphs>8</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2023-04-20T08:50:41Z</dcterms:modified>
  <dc:title>察隅县市场监督管理局2021年度部门预算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