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eastAsia="黑体"/>
          <w:b/>
          <w:sz w:val="52"/>
          <w:szCs w:val="52"/>
        </w:rPr>
      </w:pPr>
    </w:p>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察隅县市场监督管理局2020年度部门</w:t>
      </w:r>
      <w:r>
        <w:rPr>
          <w:rFonts w:hint="eastAsia" w:ascii="方正小标宋简体" w:hAnsi="方正小标宋简体" w:eastAsia="方正小标宋简体" w:cs="方正小标宋简体"/>
          <w:b w:val="0"/>
          <w:bCs/>
          <w:sz w:val="44"/>
          <w:szCs w:val="44"/>
          <w:lang w:eastAsia="zh-CN"/>
        </w:rPr>
        <w:t>决</w:t>
      </w:r>
      <w:r>
        <w:rPr>
          <w:rFonts w:hint="eastAsia" w:ascii="方正小标宋简体" w:hAnsi="方正小标宋简体" w:eastAsia="方正小标宋简体" w:cs="方正小标宋简体"/>
          <w:b w:val="0"/>
          <w:bCs/>
          <w:sz w:val="44"/>
          <w:szCs w:val="44"/>
        </w:rPr>
        <w:t>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shd w:val="clear" w:color="auto" w:fill="FFFFFF"/>
        <w:spacing w:line="570" w:lineRule="exact"/>
        <w:ind w:firstLine="320" w:firstLineChars="100"/>
        <w:jc w:val="center"/>
        <w:textAlignment w:val="center"/>
        <w:rPr>
          <w:rFonts w:hint="eastAsia" w:ascii="仿宋_GB2312" w:hAnsi="宋体" w:eastAsia="仿宋_GB2312" w:cs="宋体"/>
          <w:color w:val="000000"/>
          <w:sz w:val="32"/>
          <w:szCs w:val="32"/>
          <w:u w:val="none"/>
        </w:rPr>
      </w:pPr>
    </w:p>
    <w:p>
      <w:pPr>
        <w:shd w:val="clear" w:color="auto" w:fill="FFFFFF"/>
        <w:spacing w:line="570" w:lineRule="exact"/>
        <w:ind w:firstLine="320" w:firstLineChars="100"/>
        <w:jc w:val="center"/>
        <w:textAlignment w:val="center"/>
        <w:rPr>
          <w:rFonts w:hint="eastAsia" w:ascii="仿宋_GB2312" w:hAnsi="宋体" w:eastAsia="仿宋_GB2312" w:cs="宋体"/>
          <w:color w:val="000000"/>
          <w:sz w:val="32"/>
          <w:szCs w:val="32"/>
          <w:u w:val="none"/>
        </w:rPr>
      </w:pPr>
    </w:p>
    <w:p>
      <w:pPr>
        <w:shd w:val="clear" w:color="auto" w:fill="FFFFFF"/>
        <w:spacing w:line="570" w:lineRule="exact"/>
        <w:ind w:firstLine="320" w:firstLineChars="100"/>
        <w:jc w:val="center"/>
        <w:textAlignment w:val="center"/>
        <w:rPr>
          <w:rFonts w:ascii="仿宋_GB2312" w:hAnsi="宋体" w:eastAsia="仿宋_GB2312" w:cs="宋体"/>
          <w:sz w:val="24"/>
          <w:szCs w:val="24"/>
          <w:u w:val="none"/>
        </w:rPr>
      </w:pPr>
      <w:r>
        <w:rPr>
          <w:rFonts w:hint="eastAsia" w:ascii="仿宋_GB2312" w:hAnsi="宋体" w:eastAsia="仿宋_GB2312" w:cs="宋体"/>
          <w:color w:val="000000"/>
          <w:sz w:val="32"/>
          <w:szCs w:val="32"/>
          <w:u w:val="none"/>
        </w:rPr>
        <w:t>2021年</w:t>
      </w:r>
      <w:r>
        <w:rPr>
          <w:rFonts w:hint="eastAsia" w:ascii="仿宋_GB2312" w:hAnsi="宋体" w:eastAsia="仿宋_GB2312" w:cs="宋体"/>
          <w:color w:val="000000"/>
          <w:sz w:val="32"/>
          <w:szCs w:val="32"/>
          <w:u w:val="none"/>
          <w:lang w:val="en-US" w:eastAsia="zh-CN"/>
        </w:rPr>
        <w:t>11</w:t>
      </w:r>
      <w:r>
        <w:rPr>
          <w:rFonts w:hint="eastAsia" w:ascii="仿宋_GB2312" w:hAnsi="宋体" w:eastAsia="仿宋_GB2312" w:cs="宋体"/>
          <w:color w:val="000000"/>
          <w:sz w:val="32"/>
          <w:szCs w:val="32"/>
          <w:u w:val="none"/>
        </w:rPr>
        <w:t>月</w:t>
      </w:r>
      <w:r>
        <w:rPr>
          <w:rFonts w:hint="eastAsia" w:ascii="仿宋_GB2312" w:hAnsi="宋体" w:eastAsia="仿宋_GB2312" w:cs="宋体"/>
          <w:color w:val="000000"/>
          <w:sz w:val="32"/>
          <w:szCs w:val="32"/>
          <w:u w:val="none"/>
          <w:lang w:val="en-US" w:eastAsia="zh-CN"/>
        </w:rPr>
        <w:t>10</w:t>
      </w:r>
      <w:r>
        <w:rPr>
          <w:rFonts w:hint="eastAsia" w:ascii="仿宋_GB2312" w:hAnsi="宋体" w:eastAsia="仿宋_GB2312" w:cs="宋体"/>
          <w:color w:val="000000"/>
          <w:sz w:val="32"/>
          <w:szCs w:val="32"/>
          <w:u w:val="none"/>
        </w:rPr>
        <w:t>日</w:t>
      </w:r>
    </w:p>
    <w:p>
      <w:pPr>
        <w:keepNext w:val="0"/>
        <w:keepLines w:val="0"/>
        <w:pageBreakBefore w:val="0"/>
        <w:kinsoku/>
        <w:wordWrap/>
        <w:overflowPunct/>
        <w:topLinePunct w:val="0"/>
        <w:autoSpaceDE/>
        <w:autoSpaceDN/>
        <w:bidi w:val="0"/>
        <w:adjustRightInd/>
        <w:snapToGrid/>
        <w:spacing w:after="0" w:line="560" w:lineRule="exact"/>
        <w:jc w:val="both"/>
        <w:rPr>
          <w:rFonts w:hint="eastAsia" w:ascii="方正小标宋简体" w:hAnsi="方正小标宋简体" w:eastAsia="方正小标宋简体" w:cs="方正小标宋简体"/>
          <w:b w:val="0"/>
          <w:bCs/>
          <w:snapToGrid w:val="0"/>
          <w:w w:val="95"/>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after="0" w:line="560" w:lineRule="exact"/>
        <w:jc w:val="center"/>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rPr>
        <w:t>目  录</w:t>
      </w:r>
    </w:p>
    <w:p>
      <w:pPr>
        <w:keepNext w:val="0"/>
        <w:keepLines w:val="0"/>
        <w:pageBreakBefore w:val="0"/>
        <w:kinsoku/>
        <w:wordWrap/>
        <w:overflowPunct/>
        <w:topLinePunct w:val="0"/>
        <w:autoSpaceDE/>
        <w:autoSpaceDN/>
        <w:bidi w:val="0"/>
        <w:adjustRightInd/>
        <w:snapToGrid/>
        <w:spacing w:after="0" w:line="560" w:lineRule="exact"/>
        <w:rPr>
          <w:rFonts w:ascii="黑体" w:hAnsi="黑体" w:eastAsia="黑体"/>
          <w:b/>
          <w:snapToGrid w:val="0"/>
          <w:w w:val="95"/>
          <w:sz w:val="44"/>
          <w:szCs w:val="44"/>
        </w:rPr>
      </w:pPr>
    </w:p>
    <w:p>
      <w:pPr>
        <w:keepNext w:val="0"/>
        <w:keepLines w:val="0"/>
        <w:pageBreakBefore w:val="0"/>
        <w:shd w:val="clear" w:color="auto" w:fill="FFFFFF"/>
        <w:kinsoku/>
        <w:wordWrap/>
        <w:overflowPunct/>
        <w:topLinePunct w:val="0"/>
        <w:autoSpaceDE/>
        <w:autoSpaceDN/>
        <w:bidi w:val="0"/>
        <w:spacing w:after="0" w:line="560" w:lineRule="exact"/>
        <w:ind w:firstLine="0" w:firstLineChars="0"/>
        <w:textAlignment w:val="center"/>
        <w:rPr>
          <w:rFonts w:ascii="宋体" w:hAnsi="宋体" w:eastAsia="宋体" w:cs="宋体"/>
          <w:sz w:val="24"/>
          <w:szCs w:val="24"/>
        </w:rPr>
      </w:pPr>
      <w:r>
        <w:rPr>
          <w:rFonts w:hint="eastAsia" w:ascii="黑体" w:hAnsi="宋体" w:eastAsia="黑体" w:cs="宋体"/>
          <w:color w:val="000000"/>
          <w:sz w:val="32"/>
          <w:szCs w:val="32"/>
        </w:rPr>
        <w:t>第一部分  察隅县市场监督管理局概况</w:t>
      </w:r>
    </w:p>
    <w:p>
      <w:pPr>
        <w:keepNext w:val="0"/>
        <w:keepLines w:val="0"/>
        <w:pageBreakBefore w:val="0"/>
        <w:shd w:val="clear" w:color="auto" w:fill="FFFFFF"/>
        <w:kinsoku/>
        <w:wordWrap/>
        <w:overflowPunct/>
        <w:topLinePunct w:val="0"/>
        <w:autoSpaceDE/>
        <w:autoSpaceDN/>
        <w:bidi w:val="0"/>
        <w:spacing w:after="0" w:line="560" w:lineRule="exact"/>
        <w:ind w:firstLine="0" w:firstLineChars="0"/>
        <w:textAlignment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一</w:t>
      </w:r>
      <w:r>
        <w:rPr>
          <w:rFonts w:hint="eastAsia" w:ascii="仿宋_GB2312" w:hAnsi="Times New Roman" w:eastAsia="仿宋_GB2312" w:cs="Times New Roman"/>
          <w:color w:val="000000"/>
          <w:sz w:val="32"/>
          <w:szCs w:val="32"/>
        </w:rPr>
        <w:t>、部门主要职责和机构设置</w:t>
      </w:r>
    </w:p>
    <w:p>
      <w:pPr>
        <w:keepNext w:val="0"/>
        <w:keepLines w:val="0"/>
        <w:pageBreakBefore w:val="0"/>
        <w:shd w:val="clear" w:color="auto" w:fill="FFFFFF"/>
        <w:kinsoku/>
        <w:wordWrap/>
        <w:overflowPunct/>
        <w:topLinePunct w:val="0"/>
        <w:autoSpaceDE/>
        <w:autoSpaceDN/>
        <w:bidi w:val="0"/>
        <w:spacing w:after="0" w:line="560" w:lineRule="exact"/>
        <w:ind w:firstLine="0" w:firstLineChars="0"/>
        <w:textAlignment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二</w:t>
      </w:r>
      <w:r>
        <w:rPr>
          <w:rFonts w:hint="eastAsia" w:ascii="仿宋_GB2312" w:hAnsi="Times New Roman" w:eastAsia="仿宋_GB2312" w:cs="Times New Roman"/>
          <w:color w:val="000000"/>
          <w:sz w:val="32"/>
          <w:szCs w:val="32"/>
        </w:rPr>
        <w:t>、部门单位构成</w:t>
      </w:r>
    </w:p>
    <w:p>
      <w:pPr>
        <w:keepNext w:val="0"/>
        <w:keepLines w:val="0"/>
        <w:pageBreakBefore w:val="0"/>
        <w:shd w:val="clear" w:color="auto" w:fill="FFFFFF"/>
        <w:kinsoku/>
        <w:wordWrap/>
        <w:overflowPunct/>
        <w:topLinePunct w:val="0"/>
        <w:autoSpaceDE/>
        <w:autoSpaceDN/>
        <w:bidi w:val="0"/>
        <w:spacing w:after="0" w:line="560" w:lineRule="exact"/>
        <w:ind w:firstLine="0" w:firstLineChars="0"/>
        <w:textAlignment w:val="center"/>
        <w:rPr>
          <w:rFonts w:ascii="宋体" w:hAnsi="宋体" w:eastAsia="宋体" w:cs="宋体"/>
          <w:sz w:val="24"/>
          <w:szCs w:val="24"/>
        </w:rPr>
      </w:pPr>
      <w:r>
        <w:rPr>
          <w:rFonts w:hint="eastAsia" w:ascii="黑体" w:hAnsi="宋体" w:eastAsia="黑体" w:cs="宋体"/>
          <w:color w:val="000000"/>
          <w:sz w:val="32"/>
          <w:szCs w:val="32"/>
        </w:rPr>
        <w:t>第二部分  察隅县市场监督管理局2020年度部门决算明细表</w:t>
      </w:r>
    </w:p>
    <w:p>
      <w:pPr>
        <w:keepNext w:val="0"/>
        <w:keepLines w:val="0"/>
        <w:pageBreakBefore w:val="0"/>
        <w:shd w:val="clear" w:color="auto" w:fill="FFFFFF"/>
        <w:kinsoku/>
        <w:wordWrap/>
        <w:overflowPunct/>
        <w:topLinePunct w:val="0"/>
        <w:autoSpaceDE/>
        <w:autoSpaceDN/>
        <w:bidi w:val="0"/>
        <w:spacing w:after="0" w:line="560" w:lineRule="exact"/>
        <w:ind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一、收支决算总表</w:t>
      </w:r>
    </w:p>
    <w:p>
      <w:pPr>
        <w:keepNext w:val="0"/>
        <w:keepLines w:val="0"/>
        <w:pageBreakBefore w:val="0"/>
        <w:shd w:val="clear" w:color="auto" w:fill="FFFFFF"/>
        <w:kinsoku/>
        <w:wordWrap/>
        <w:overflowPunct/>
        <w:topLinePunct w:val="0"/>
        <w:autoSpaceDE/>
        <w:autoSpaceDN/>
        <w:bidi w:val="0"/>
        <w:spacing w:after="0" w:line="560" w:lineRule="exact"/>
        <w:ind w:left="0"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二、收入决算总表</w:t>
      </w:r>
    </w:p>
    <w:p>
      <w:pPr>
        <w:keepNext w:val="0"/>
        <w:keepLines w:val="0"/>
        <w:pageBreakBefore w:val="0"/>
        <w:shd w:val="clear" w:color="auto" w:fill="FFFFFF"/>
        <w:kinsoku/>
        <w:wordWrap/>
        <w:overflowPunct/>
        <w:topLinePunct w:val="0"/>
        <w:autoSpaceDE/>
        <w:autoSpaceDN/>
        <w:bidi w:val="0"/>
        <w:spacing w:after="0" w:line="560" w:lineRule="exact"/>
        <w:ind w:left="0"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三、支出决算总表</w:t>
      </w:r>
    </w:p>
    <w:p>
      <w:pPr>
        <w:keepNext w:val="0"/>
        <w:keepLines w:val="0"/>
        <w:pageBreakBefore w:val="0"/>
        <w:shd w:val="clear" w:color="auto" w:fill="FFFFFF"/>
        <w:kinsoku/>
        <w:wordWrap/>
        <w:overflowPunct/>
        <w:topLinePunct w:val="0"/>
        <w:autoSpaceDE/>
        <w:autoSpaceDN/>
        <w:bidi w:val="0"/>
        <w:spacing w:after="0" w:line="560" w:lineRule="exact"/>
        <w:ind w:left="0"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四、财政拨款收支决算总表</w:t>
      </w:r>
    </w:p>
    <w:p>
      <w:pPr>
        <w:keepNext w:val="0"/>
        <w:keepLines w:val="0"/>
        <w:pageBreakBefore w:val="0"/>
        <w:shd w:val="clear" w:color="auto" w:fill="FFFFFF"/>
        <w:kinsoku/>
        <w:wordWrap/>
        <w:overflowPunct/>
        <w:topLinePunct w:val="0"/>
        <w:autoSpaceDE/>
        <w:autoSpaceDN/>
        <w:bidi w:val="0"/>
        <w:spacing w:after="0" w:line="560" w:lineRule="exact"/>
        <w:ind w:left="0"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五、一般公共预算财政拨款支出决算表</w:t>
      </w:r>
    </w:p>
    <w:p>
      <w:pPr>
        <w:keepNext w:val="0"/>
        <w:keepLines w:val="0"/>
        <w:pageBreakBefore w:val="0"/>
        <w:shd w:val="clear" w:color="auto" w:fill="FFFFFF"/>
        <w:kinsoku/>
        <w:wordWrap/>
        <w:overflowPunct/>
        <w:topLinePunct w:val="0"/>
        <w:autoSpaceDE/>
        <w:autoSpaceDN/>
        <w:bidi w:val="0"/>
        <w:spacing w:after="0" w:line="560" w:lineRule="exact"/>
        <w:ind w:left="0"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六、一般公共预算财政拨款基本支出决算表</w:t>
      </w:r>
    </w:p>
    <w:p>
      <w:pPr>
        <w:keepNext w:val="0"/>
        <w:keepLines w:val="0"/>
        <w:pageBreakBefore w:val="0"/>
        <w:shd w:val="clear" w:color="auto" w:fill="FFFFFF"/>
        <w:kinsoku/>
        <w:wordWrap/>
        <w:overflowPunct/>
        <w:topLinePunct w:val="0"/>
        <w:autoSpaceDE/>
        <w:autoSpaceDN/>
        <w:bidi w:val="0"/>
        <w:spacing w:after="0" w:line="560" w:lineRule="exact"/>
        <w:ind w:left="0"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七、一般公共预算相关经费支出决算表</w:t>
      </w:r>
    </w:p>
    <w:p>
      <w:pPr>
        <w:keepNext w:val="0"/>
        <w:keepLines w:val="0"/>
        <w:pageBreakBefore w:val="0"/>
        <w:shd w:val="clear" w:color="auto" w:fill="FFFFFF"/>
        <w:kinsoku/>
        <w:wordWrap/>
        <w:overflowPunct/>
        <w:topLinePunct w:val="0"/>
        <w:autoSpaceDE/>
        <w:autoSpaceDN/>
        <w:bidi w:val="0"/>
        <w:spacing w:after="0" w:line="560" w:lineRule="exact"/>
        <w:ind w:left="0" w:firstLine="0" w:firstLineChars="0"/>
        <w:textAlignment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八、政府性基金预算财政拨款收支决算表</w:t>
      </w:r>
    </w:p>
    <w:p>
      <w:pPr>
        <w:pStyle w:val="11"/>
        <w:keepNext w:val="0"/>
        <w:keepLines w:val="0"/>
        <w:pageBreakBefore w:val="0"/>
        <w:kinsoku/>
        <w:wordWrap/>
        <w:overflowPunct/>
        <w:topLinePunct w:val="0"/>
        <w:autoSpaceDE/>
        <w:autoSpaceDN/>
        <w:bidi w:val="0"/>
        <w:spacing w:after="0" w:line="560" w:lineRule="exact"/>
        <w:ind w:left="0" w:firstLine="0"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第三部分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察隅县市场监督管理局2020年度部门决算数据说明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一、收入支出总体情况说明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二、收入情况说明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三、支出情况说明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四、一般公共预算财政拨款收入支出总体情况说明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五、一般公共预算财政拨款支出情况说明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六、一般公共预算财政拨款基本支出情况说明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七、一般公共预算财政拨款“三公”经费支出情况说明</w:t>
      </w:r>
    </w:p>
    <w:p>
      <w:pPr>
        <w:keepNext w:val="0"/>
        <w:keepLines w:val="0"/>
        <w:pageBreakBefore w:val="0"/>
        <w:kinsoku/>
        <w:wordWrap/>
        <w:overflowPunct/>
        <w:topLinePunct w:val="0"/>
        <w:autoSpaceDE/>
        <w:autoSpaceDN/>
        <w:bidi w:val="0"/>
        <w:spacing w:after="0" w:line="560" w:lineRule="exact"/>
        <w:ind w:left="0" w:firstLine="0" w:firstLineChars="0"/>
        <w:rPr>
          <w:rFonts w:hint="eastAsia" w:ascii="仿宋_GB2312" w:eastAsia="仿宋_GB2312"/>
          <w:sz w:val="32"/>
          <w:szCs w:val="32"/>
        </w:rPr>
        <w:sectPr>
          <w:footerReference r:id="rId3" w:type="first"/>
          <w:pgSz w:w="11900" w:h="16840"/>
          <w:pgMar w:top="1440" w:right="1800" w:bottom="1440" w:left="1800" w:header="0" w:footer="1440" w:gutter="0"/>
          <w:pgNumType w:fmt="numberInDash" w:start="1"/>
          <w:cols w:space="720" w:num="1"/>
        </w:sectPr>
      </w:pPr>
    </w:p>
    <w:p>
      <w:pPr>
        <w:keepNext w:val="0"/>
        <w:keepLines w:val="0"/>
        <w:pageBreakBefore w:val="0"/>
        <w:kinsoku/>
        <w:wordWrap/>
        <w:overflowPunct/>
        <w:topLinePunct w:val="0"/>
        <w:autoSpaceDE/>
        <w:autoSpaceDN/>
        <w:bidi w:val="0"/>
        <w:spacing w:after="0" w:line="560" w:lineRule="exact"/>
        <w:ind w:left="0" w:firstLine="0" w:firstLineChars="0"/>
        <w:rPr>
          <w:rFonts w:ascii="仿宋_GB2312" w:eastAsia="仿宋_GB2312"/>
          <w:sz w:val="32"/>
          <w:szCs w:val="32"/>
        </w:rPr>
      </w:pPr>
      <w:r>
        <w:rPr>
          <w:rFonts w:hint="eastAsia" w:ascii="仿宋_GB2312" w:eastAsia="仿宋_GB2312"/>
          <w:sz w:val="32"/>
          <w:szCs w:val="32"/>
        </w:rPr>
        <w:t>八、其他重要事项情况说明</w:t>
      </w:r>
    </w:p>
    <w:p>
      <w:pPr>
        <w:keepNext w:val="0"/>
        <w:keepLines w:val="0"/>
        <w:pageBreakBefore w:val="0"/>
        <w:kinsoku/>
        <w:wordWrap/>
        <w:overflowPunct/>
        <w:topLinePunct w:val="0"/>
        <w:autoSpaceDE/>
        <w:autoSpaceDN/>
        <w:bidi w:val="0"/>
        <w:spacing w:after="0" w:line="560" w:lineRule="exact"/>
        <w:ind w:left="0" w:firstLine="0" w:firstLineChars="0"/>
        <w:rPr>
          <w:rFonts w:ascii="仿宋_GB2312" w:hAnsi="仿宋_GB2312" w:eastAsia="仿宋_GB2312" w:cs="仿宋_GB2312"/>
          <w:b/>
          <w:sz w:val="36"/>
          <w:szCs w:val="36"/>
          <w:highlight w:val="yellow"/>
        </w:rPr>
      </w:pPr>
      <w:r>
        <w:rPr>
          <w:rFonts w:hint="eastAsia" w:ascii="仿宋_GB2312" w:eastAsia="仿宋_GB2312"/>
          <w:sz w:val="32"/>
          <w:szCs w:val="32"/>
        </w:rPr>
        <w:t>九、重点、重大项目信息</w:t>
      </w:r>
    </w:p>
    <w:p>
      <w:pPr>
        <w:keepNext w:val="0"/>
        <w:keepLines w:val="0"/>
        <w:pageBreakBefore w:val="0"/>
        <w:kinsoku/>
        <w:wordWrap/>
        <w:overflowPunct/>
        <w:topLinePunct w:val="0"/>
        <w:autoSpaceDE/>
        <w:autoSpaceDN/>
        <w:bidi w:val="0"/>
        <w:spacing w:after="0" w:line="560" w:lineRule="exact"/>
        <w:ind w:left="0" w:firstLine="0" w:firstLineChars="0"/>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rPr>
          <w:rFonts w:ascii="宋体" w:hAnsi="宋体"/>
          <w:b/>
          <w:snapToGrid w:val="0"/>
          <w:w w:val="95"/>
          <w:sz w:val="44"/>
          <w:szCs w:val="44"/>
        </w:rPr>
      </w:pPr>
    </w:p>
    <w:p>
      <w:pPr>
        <w:spacing w:line="560" w:lineRule="exact"/>
        <w:jc w:val="center"/>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rPr>
        <w:t>第一部分</w:t>
      </w:r>
      <w:r>
        <w:rPr>
          <w:rFonts w:hint="eastAsia" w:ascii="方正小标宋简体" w:hAnsi="方正小标宋简体" w:eastAsia="方正小标宋简体" w:cs="方正小标宋简体"/>
          <w:b w:val="0"/>
          <w:bCs/>
          <w:snapToGrid w:val="0"/>
          <w:w w:val="95"/>
          <w:sz w:val="44"/>
          <w:szCs w:val="44"/>
          <w:lang w:val="en-US" w:eastAsia="zh-CN"/>
        </w:rPr>
        <w:t xml:space="preserve">  </w:t>
      </w:r>
      <w:r>
        <w:rPr>
          <w:rFonts w:hint="eastAsia" w:ascii="方正小标宋简体" w:hAnsi="方正小标宋简体" w:eastAsia="方正小标宋简体" w:cs="方正小标宋简体"/>
          <w:b w:val="0"/>
          <w:bCs/>
          <w:snapToGrid w:val="0"/>
          <w:w w:val="95"/>
          <w:sz w:val="44"/>
          <w:szCs w:val="44"/>
        </w:rPr>
        <w:t>察隅县市场监督管理局概况</w:t>
      </w:r>
    </w:p>
    <w:p>
      <w:pPr>
        <w:keepNext w:val="0"/>
        <w:keepLines w:val="0"/>
        <w:pageBreakBefore w:val="0"/>
        <w:widowControl/>
        <w:kinsoku/>
        <w:wordWrap/>
        <w:overflowPunct/>
        <w:topLinePunct w:val="0"/>
        <w:autoSpaceDE/>
        <w:autoSpaceDN/>
        <w:bidi w:val="0"/>
        <w:spacing w:after="0" w:line="560" w:lineRule="exact"/>
        <w:ind w:firstLine="800" w:firstLineChars="250"/>
        <w:jc w:val="both"/>
        <w:textAlignment w:val="auto"/>
        <w:rPr>
          <w:rFonts w:ascii="黑体" w:hAnsi="黑体" w:eastAsia="黑体" w:cs="仿宋_GB2312"/>
          <w:kern w:val="2"/>
          <w:sz w:val="32"/>
          <w:szCs w:val="32"/>
        </w:rPr>
      </w:pPr>
      <w:r>
        <w:rPr>
          <w:rFonts w:hint="eastAsia" w:ascii="黑体" w:hAnsi="黑体" w:eastAsia="黑体" w:cs="仿宋_GB2312"/>
          <w:kern w:val="2"/>
          <w:sz w:val="32"/>
          <w:szCs w:val="32"/>
        </w:rPr>
        <w:t>一、主要职能</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楷体_GB2312" w:hAnsi="黑体" w:eastAsia="楷体_GB2312" w:cs="仿宋_GB2312"/>
          <w:bCs/>
          <w:sz w:val="32"/>
          <w:szCs w:val="32"/>
        </w:rPr>
      </w:pPr>
      <w:r>
        <w:rPr>
          <w:rFonts w:hint="eastAsia" w:ascii="楷体_GB2312" w:hAnsi="黑体" w:eastAsia="楷体_GB2312" w:cs="仿宋_GB2312"/>
          <w:bCs/>
          <w:sz w:val="32"/>
          <w:szCs w:val="32"/>
        </w:rPr>
        <w:t>（一）部门职责</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市场综合监督管理。贯彻执行国家、自治区有关市场监督管理的法律法规和政策，组织落实质量振兴战略、食品安全战略和标准化战略，拟订并组织实施有关规划，组织实施对全县各类市场主体的监督管理，规范和维护市场秩序，营造诚实守信、公平竞争的市场环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负责市场主体统一登记注册。指导全县各类企业、农牧民专业合作社和从事经营活动的单位、个体工商户等市场主体的登记注册工作。建立市场主体信息公示和共享机制，依法公示和共享有关信息，加强信用监管，推动市场主体信用体系建设。</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3.负责指导和监督市场监管综合执法工作。指导全县市场监管综合执法工作，推动实行统一的市场监管。组织查处和督办重大违法案件。规范市场监管行政执法行为。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反垄断统一执法。统筹推进竞争政策实施，指导实施公平竞争审查制度。依法依权对经营者集中行为进行反垄断审查，负责对垄断协议、滥用市场支配地位和滥用行政权力排除、限制竞争等行为的反垄断执法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负责消费维权工作，指导县消费者协会开展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负责宏观质量管理。拟订实施质量发展的制度措施。统筹全县质量基础设施协同服务与应用。会同有关部门组织实施重大工程设备质量监理制度，组织重大质量事故调查，贯彻实施缺陷产品召回制度，监督管理产品防伪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7.负责产品质量安全监督管理。负责产品质量风险防控和监督抽查工作。组织实施质量分级制度、质量安全追溯制度。负责产品质量监督工作。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kern w:val="2"/>
          <w:sz w:val="32"/>
          <w:szCs w:val="32"/>
        </w:rPr>
        <w:sectPr>
          <w:footerReference r:id="rId4" w:type="default"/>
          <w:pgSz w:w="11900" w:h="16840"/>
          <w:pgMar w:top="1440" w:right="1800" w:bottom="1440" w:left="1800" w:header="0" w:footer="1440" w:gutter="0"/>
          <w:pgNumType w:fmt="numberInDash" w:start="1"/>
          <w:cols w:space="720" w:num="1"/>
        </w:sectPr>
      </w:pPr>
      <w:r>
        <w:rPr>
          <w:rFonts w:hint="eastAsia" w:ascii="仿宋_GB2312" w:hAnsi="仿宋_GB2312" w:eastAsia="仿宋_GB2312" w:cs="仿宋_GB2312"/>
          <w:sz w:val="32"/>
          <w:szCs w:val="32"/>
        </w:rPr>
        <w:t>8.负责特种设备安全监督管理。综合管理特种设备安全监察、监督工作，监督检查高耗能特种设备节能标准和锅炉环境保护标准的执行情况。</w:t>
      </w:r>
      <w:r>
        <w:rPr>
          <w:rFonts w:hint="eastAsia" w:ascii="仿宋_GB2312" w:hAnsi="仿宋_GB2312" w:eastAsia="仿宋_GB2312" w:cs="仿宋_GB2312"/>
          <w:kern w:val="2"/>
          <w:sz w:val="32"/>
          <w:szCs w:val="32"/>
        </w:rPr>
        <w:drawing>
          <wp:anchor distT="0" distB="0" distL="114300" distR="114300" simplePos="0" relativeHeight="251656192" behindDoc="0" locked="0" layoutInCell="1" allowOverlap="1">
            <wp:simplePos x="0" y="0"/>
            <wp:positionH relativeFrom="page">
              <wp:posOffset>6438900</wp:posOffset>
            </wp:positionH>
            <wp:positionV relativeFrom="page">
              <wp:posOffset>1676400</wp:posOffset>
            </wp:positionV>
            <wp:extent cx="647700" cy="4191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419100"/>
                    </a:xfrm>
                    <a:prstGeom prst="rect">
                      <a:avLst/>
                    </a:prstGeom>
                  </pic:spPr>
                </pic:pic>
              </a:graphicData>
            </a:graphic>
          </wp:anchor>
        </w:drawing>
      </w:r>
      <w:r>
        <w:rPr>
          <w:rFonts w:ascii="仿宋_GB2312" w:hAnsi="仿宋_GB2312" w:eastAsia="仿宋_GB2312" w:cs="仿宋_GB2312"/>
          <w:kern w:val="2"/>
          <w:sz w:val="32"/>
          <w:szCs w:val="32"/>
        </w:rPr>
        <w:pict>
          <v:shape id="_x0000_s2050" o:spid="_x0000_s2050" o:spt="202" type="#_x0000_t202" style="position:absolute;left:0pt;margin-left:38pt;margin-top:800pt;height:25pt;width:56pt;mso-position-horizontal-relative:page;mso-position-vertical-relative:page;mso-wrap-distance-bottom:0pt;mso-wrap-distance-left:9pt;mso-wrap-distance-right:9pt;mso-wrap-distance-top:0pt;z-index:251657216;mso-width-relative:page;mso-height-relative:page;" filled="f" stroked="f" coordsize="21600,21600" o:gfxdata="UEsDBAoAAAAAAIdO4kAAAAAAAAAAAAAAAAAEAAAAZHJzL1BLAwQUAAAACACHTuJAP6VtI9cAAAAM&#10;AQAADwAAAGRycy9kb3ducmV2LnhtbE1PQU7DMBC8I/EHa5G4UTtIDVGIUwESogguLbRc3WSJI+J1&#10;FLtN+ns2J7jNzoxmZ4rV5DpxwiG0njQkCwUCqfJ1S42Gz4/nmwxEiIZq03lCDWcMsCovLwqT136k&#10;DZ62sREcQiE3GmyMfS5lqCw6Exa+R2Lt2w/ORD6HRtaDGTncdfJWqVQ60xJ/sKbHJ4vVz/boNDxm&#10;L+vxYff1NtnlZv+aUFif34PW11eJugcRcYp/Zpjrc3UoudPBH6kOotNwl/KUyHyqFKPZkWUMDjO1&#10;ZEqWhfw/ovwFUEsDBBQAAAAIAIdO4kAxyDC12A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zGMXRMFAz//&#10;+nn+/ff85wcqozyD9Q1k3VnIC+N7M8LSPPg9OCPrkTsVv8AHxXidF1fXIPGpxWVRrapiOQnNxoAo&#10;JICzXNVLjChkVNV1Xa5SRvYIZZ0PH5hRKBotdjDJJDA5fvIB2oLUh5RYWZtbIWWaptRoaHFdLfP0&#10;4BKBF1LDw0hoajxaYdyNM8ud6U5AUn7UIHC5vMrjwqQLGO6pdzd7p8rvDsFwkZqKiBPMXAjGlnqd&#10;VyzuxdN7ynr8rT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6VtI9cAAAAMAQAADwAAAAAAAAAB&#10;ACAAAAAiAAAAZHJzL2Rvd25yZXYueG1sUEsBAhQAFAAAAAgAh07iQDHIMLXYAQAAngMAAA4AAAAA&#10;AAAAAQAgAAAAJgEAAGRycy9lMm9Eb2MueG1sUEsFBgAAAAAGAAYAWQEAAHAFAAAAAA==&#10;">
            <v:path/>
            <v:fill on="f" focussize="0,0"/>
            <v:stroke on="f" weight="0.5pt" joinstyle="miter"/>
            <v:imagedata o:title=""/>
            <o:lock v:ext="edit"/>
            <v:textbox inset="2pt,0mm,2pt,0mm">
              <w:txbxContent>
                <w:p>
                  <w:pPr>
                    <w:spacing w:line="340" w:lineRule="exact"/>
                    <w:jc w:val="both"/>
                  </w:pPr>
                </w:p>
              </w:txbxContent>
            </v:textbox>
            <w10:wrap type="square"/>
          </v:shape>
        </w:pic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负责食品安全监督管理综合协调。拟订食品安全制度措施并组织实施。负责全县食品安全应急体系建设，组织指导重大食品安全事件应急处置和调查处理工作。建立健全并贯彻执行食品安全重要信息直报制度。承担县食品安全委员会日常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负责食品安全监督管理。组织实施流通、消费环节行政许可事项，建立全县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备案和监督管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11.负责统一管理计量工作。推行国家法定计量单位，执行国家计量制度，管理计量器具及量值传递和比对工作。规范、监督商品量和市场计量行为。</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12.负责统一管理标准化工作。依法承担地方标准的立项、编号和发布工作。依法协调指导和监督地方标准、团体标准、企业标准制定工作。组织开展标准化执行的监督管理。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13.负责统一管理检验检测工作。推进检验检测机构改革，规范检验检测市场，完善检验检测体系，指导协调检验检测行业发展。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14.负责统一管理、监督和综合协调认证工作。组织实施国家统一的认证和合格评定监督管理制度。</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15.负责知识产权工作。组织实施知识产权战略有关政策，负责</w:t>
      </w:r>
      <w:r>
        <w:rPr>
          <w:rFonts w:hint="eastAsia" w:ascii="仿宋_GB2312" w:hAnsi="仿宋_GB2312" w:eastAsia="仿宋_GB2312" w:cs="仿宋_GB2312"/>
          <w:kern w:val="2"/>
          <w:sz w:val="32"/>
          <w:szCs w:val="32"/>
        </w:rPr>
        <w:t>保护知识产权、促进知识产权运用、建立知识产权公共服务体系。</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16.负责市场监督管理科技和信息化建设、新闻宣传。按规定承担技术性贸易措施有关工作。</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17.负责药品（含中药、民族药，下同）、医疗器械和化妆品安全监督管理。监督实施国家药品、医疗器械和化妆品法律法规和部门规章。推动药品、医疗器械和化妆品监督管理体系建设。</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18.负责监督实施国家药品、医疗器械和化妆品标准。监督实施地方药材标准和医疗机构制剂标准。组织实施中药品种保护制度和药品分类管理制度相关工作。配合实施基本药物制度。</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19.负责药品、医疗器械和化妆品备案管理。制定并组织实施医疗机构制剂备案管理制度。</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20.负责药品、医疗器械和化妆品质量管理。监督实施药品、医疗器械经营质量管理规范。组织实施全县药品、医疗器械和化妆品经营监督管理制度。</w:t>
      </w:r>
    </w:p>
    <w:p>
      <w:pPr>
        <w:pStyle w:val="12"/>
        <w:keepNext w:val="0"/>
        <w:keepLines w:val="0"/>
        <w:pageBreakBefore w:val="0"/>
        <w:widowControl/>
        <w:kinsoku/>
        <w:wordWrap/>
        <w:overflowPunct/>
        <w:topLinePunct w:val="0"/>
        <w:autoSpaceDE/>
        <w:autoSpaceDN/>
        <w:bidi w:val="0"/>
        <w:spacing w:after="0" w:line="560" w:lineRule="exact"/>
        <w:ind w:left="0" w:leftChars="0" w:firstLine="640"/>
        <w:jc w:val="both"/>
        <w:textAlignment w:val="auto"/>
      </w:pPr>
      <w:r>
        <w:rPr>
          <w:rFonts w:hint="eastAsia" w:ascii="仿宋_GB2312" w:hAnsi="仿宋_GB2312" w:eastAsia="仿宋_GB2312" w:cs="仿宋_GB2312"/>
          <w:kern w:val="2"/>
          <w:sz w:val="32"/>
          <w:szCs w:val="32"/>
        </w:rPr>
        <w:t>21.负责药品、医疗器械和化妆品上市后风险管理。组织开展药品不良反应、医疗器械不良事件和化妆</w:t>
      </w:r>
    </w:p>
    <w:p>
      <w:pPr>
        <w:keepNext w:val="0"/>
        <w:keepLines w:val="0"/>
        <w:pageBreakBefore w:val="0"/>
        <w:widowControl/>
        <w:kinsoku/>
        <w:wordWrap/>
        <w:overflowPunct/>
        <w:topLinePunct w:val="0"/>
        <w:autoSpaceDE/>
        <w:autoSpaceDN/>
        <w:bidi w:val="0"/>
        <w:spacing w:after="0" w:line="560" w:lineRule="exact"/>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品不良反应的监测、评价和处置</w:t>
      </w:r>
      <w:r>
        <w:rPr>
          <w:rFonts w:ascii="仿宋_GB2312" w:hAnsi="仿宋_GB2312" w:eastAsia="仿宋_GB2312" w:cs="仿宋_GB2312"/>
          <w:kern w:val="2"/>
          <w:sz w:val="32"/>
          <w:szCs w:val="32"/>
        </w:rPr>
        <w:pict>
          <v:shape id="_x0000_s2051" o:spid="_x0000_s2051" o:spt="202" type="#_x0000_t202" style="position:absolute;left:0pt;margin-left:471pt;margin-top:789pt;height:22pt;width:51pt;mso-position-horizontal-relative:page;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dYkpQ9oAAAAO&#10;AQAADwAAAGRycy9kb3ducmV2LnhtbE2PwU7DMBBE70j8g7VI3KidKC1piFMBEqIILi0Urm5s4oh4&#10;HcVuk/492xPcZjWj2TflanIdO5ohtB4lJDMBzGDtdYuNhI/3p5scWIgKteo8GgknE2BVXV6UqtB+&#10;xI05bmPDqARDoSTYGPuC81Bb41SY+d4ged9+cCrSOTRcD2qkctfxVIgFd6pF+mBVbx6tqX+2Byfh&#10;IX9ej/e7r9fJzjefLwmG9ektSHl9lYg7YNFM8S8MZ3xCh4qY9v6AOrBOwjJLaUskY36bkzpHRJaR&#10;2pNapOTyquT/Z1S/UEsDBBQAAAAIAIdO4kCpegGC2QEAAJ8DAAAOAAAAZHJzL2Uyb0RvYy54bWyt&#10;U0tu2zAQ3RfoHQjua/1spTYsBy2MFAWKtkDaA9AUaRHgDyRtyRdob9BVN933XD5HhpTiBMkmi2wo&#10;cubxzbw31Pp6UBIdmfPC6AYXsxwjpqlphd43+OePm3fvMfKB6JZIo1mDT8zj683bN+verlhpOiNb&#10;5hCQaL/qbYO7EOwqyzztmCJ+ZizTkOTGKRLg6PZZ60gP7EpmZZ7XWW9ca52hzHuIbscknhjdSwgN&#10;54KyraEHxXQYWR2TJIAk3wnr8SZ1yzmj4RvnngUkGwxKQ1qhCOx3cc02a7LaO2I7QacWyEtaeKJJ&#10;EaGh6IVqSwJBByeeUSlBnfGGhxk1KhuFJEdARZE/8ea2I5YlLWC1txfT/evR0q/H7w6JFl7CHCNN&#10;FEz8/Of3+e//879fqIz+9NavAHZrARiGj2YA7H3cQzDKHrhT8QuCUMzXeTG/Ao9PDS6LalkVi9Fp&#10;NgREAQDBclkvMKKAqKqrulwmRPZAZZ0Pn5hRKG4a7GCUyWFy/OIDtAXQe0isrM2NkDKNU2rUN7iu&#10;Fnm6cMnADanhYhQ0Nh53YdgNk8qdaU8gUn7W4HC5mOfxxaQDbNzj6G6KjpU/HILhIjUVGUeaqRDM&#10;LfU6vbH4MB6fE+r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WJKUPaAAAADgEAAA8AAAAA&#10;AAAAAQAgAAAAIgAAAGRycy9kb3ducmV2LnhtbFBLAQIUABQAAAAIAIdO4kCpegGC2QEAAJ8DAAAO&#10;AAAAAAAAAAEAIAAAACkBAABkcnMvZTJvRG9jLnhtbFBLBQYAAAAABgAGAFkBAAB0BQAAAAA=&#10;">
            <v:path/>
            <v:fill on="f" focussize="0,0"/>
            <v:stroke on="f" weight="0.5pt" joinstyle="miter"/>
            <v:imagedata o:title=""/>
            <o:lock v:ext="edit"/>
            <v:textbox inset="2pt,0mm,2pt,0mm">
              <w:txbxContent>
                <w:p>
                  <w:pPr>
                    <w:spacing w:line="300" w:lineRule="exact"/>
                    <w:jc w:val="center"/>
                  </w:pPr>
                  <w:r>
                    <w:rPr>
                      <w:color w:val="000000"/>
                    </w:rPr>
                    <w:tab/>
                  </w:r>
                </w:p>
              </w:txbxContent>
            </v:textbox>
            <w10:wrap type="square"/>
          </v:shape>
        </w:pict>
      </w:r>
      <w:r>
        <w:rPr>
          <w:rFonts w:hint="eastAsia" w:ascii="仿宋_GB2312" w:hAnsi="仿宋_GB2312" w:eastAsia="仿宋_GB2312" w:cs="仿宋_GB2312"/>
          <w:kern w:val="2"/>
          <w:sz w:val="32"/>
          <w:szCs w:val="32"/>
        </w:rPr>
        <w:t>工作。</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22.负责组织指导药品、医疗器械和化妆品监督检查。制定检查制度，依职责组织指导查处经营使用环节的违法行为。建立问题产品召回和处理制度并监督实施。</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23.负责组织指导药品、医疗器械和化妆品监督管理领域安全宣传、教育培训。</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24.负责本行业领域安全生产监督管理和应急处置工作</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25.完成县委、政府交办的其他任务。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（二）部门机构设置</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察隅县市场监管局内设市场监管综合执法队，无其他内设机构。</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sectPr>
          <w:headerReference r:id="rId5" w:type="default"/>
          <w:footerReference r:id="rId6" w:type="default"/>
          <w:type w:val="continuous"/>
          <w:pgSz w:w="11900" w:h="16840"/>
          <w:pgMar w:top="1440" w:right="1800" w:bottom="1440" w:left="1800" w:header="0" w:footer="1440" w:gutter="0"/>
          <w:pgNumType w:fmt="numberInDash"/>
          <w:cols w:space="720" w:num="1"/>
          <w:titlePg/>
        </w:sectPr>
      </w:pPr>
      <w:r>
        <w:rPr>
          <w:rFonts w:hint="eastAsia" w:ascii="仿宋_GB2312" w:hAnsi="仿宋_GB2312" w:eastAsia="仿宋_GB2312" w:cs="仿宋_GB2312"/>
          <w:kern w:val="2"/>
          <w:sz w:val="32"/>
          <w:szCs w:val="32"/>
        </w:rPr>
        <w:t>察隅县市场监督管理局为县人民政府工作部门，正科级建制。</w:t>
      </w:r>
    </w:p>
    <w:p>
      <w:pPr>
        <w:spacing w:line="560" w:lineRule="exact"/>
        <w:jc w:val="both"/>
        <w:rPr>
          <w:rFonts w:ascii="仿宋_GB2312" w:hAnsi="仿宋_GB2312" w:eastAsia="仿宋_GB2312" w:cs="仿宋_GB2312"/>
          <w:sz w:val="32"/>
          <w:szCs w:val="32"/>
        </w:rPr>
      </w:pPr>
    </w:p>
    <w:p>
      <w:pPr>
        <w:numPr>
          <w:ilvl w:val="0"/>
          <w:numId w:val="1"/>
        </w:numPr>
        <w:spacing w:line="560" w:lineRule="exact"/>
        <w:jc w:val="center"/>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rPr>
        <w:t xml:space="preserve"> 察隅县市场监督管理局2020年度部门预算明细表（详见附件）</w:t>
      </w:r>
    </w:p>
    <w:p>
      <w:pPr>
        <w:numPr>
          <w:ilvl w:val="0"/>
          <w:numId w:val="0"/>
        </w:numPr>
        <w:spacing w:line="560" w:lineRule="exact"/>
        <w:jc w:val="both"/>
        <w:rPr>
          <w:rFonts w:hint="eastAsia" w:ascii="方正小标宋简体" w:hAnsi="方正小标宋简体" w:eastAsia="方正小标宋简体" w:cs="方正小标宋简体"/>
          <w:b w:val="0"/>
          <w:bCs/>
          <w:snapToGrid w:val="0"/>
          <w:w w:val="95"/>
          <w:sz w:val="44"/>
          <w:szCs w:val="44"/>
        </w:rPr>
      </w:pPr>
    </w:p>
    <w:p>
      <w:pPr>
        <w:numPr>
          <w:ilvl w:val="0"/>
          <w:numId w:val="1"/>
        </w:numPr>
        <w:spacing w:line="560" w:lineRule="exact"/>
        <w:ind w:left="0" w:leftChars="0" w:firstLine="0" w:firstLineChars="0"/>
        <w:jc w:val="center"/>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rPr>
        <w:t xml:space="preserve"> 察隅县市场监督管理局2020年度部门预算数据分析</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rPr>
          <w:rFonts w:hint="eastAsia" w:ascii="仿宋_GB2312" w:eastAsia="仿宋_GB2312"/>
          <w:b/>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rPr>
          <w:rFonts w:ascii="仿宋_GB2312" w:eastAsia="仿宋_GB2312"/>
          <w:b/>
          <w:bCs w:val="0"/>
          <w:sz w:val="32"/>
          <w:szCs w:val="32"/>
        </w:rPr>
      </w:pPr>
      <w:r>
        <w:rPr>
          <w:rFonts w:hint="eastAsia" w:ascii="仿宋_GB2312" w:eastAsia="仿宋_GB2312"/>
          <w:b/>
          <w:bCs w:val="0"/>
          <w:sz w:val="32"/>
          <w:szCs w:val="32"/>
        </w:rPr>
        <w:t>一、2020年度收入支出总体情况说明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察隅县市场监督管理局2020年度收入合计231.13万元，比上年度增加33.57万元，增长率16.99%；支出合计316.62万元，比上年度增加143.43万元，增长率82.82%。主要原因:</w:t>
      </w:r>
      <w:r>
        <w:rPr>
          <w:rFonts w:hint="eastAsia"/>
        </w:rPr>
        <w:t xml:space="preserve"> </w:t>
      </w:r>
      <w:r>
        <w:rPr>
          <w:rFonts w:hint="eastAsia" w:ascii="仿宋_GB2312" w:eastAsia="仿宋_GB2312"/>
          <w:sz w:val="32"/>
          <w:szCs w:val="32"/>
        </w:rPr>
        <w:t>本年度本单位预算多，同时支出资金也较多，导致与去年有相差。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rPr>
          <w:rFonts w:ascii="仿宋_GB2312" w:eastAsia="仿宋_GB2312"/>
          <w:b/>
          <w:sz w:val="32"/>
          <w:szCs w:val="32"/>
        </w:rPr>
      </w:pPr>
      <w:r>
        <w:rPr>
          <w:rFonts w:hint="eastAsia" w:ascii="仿宋_GB2312" w:eastAsia="仿宋_GB2312"/>
          <w:b/>
          <w:sz w:val="32"/>
          <w:szCs w:val="32"/>
        </w:rPr>
        <w:t>二、2020年度收入情况说明</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60" w:lineRule="exact"/>
        <w:ind w:firstLine="480" w:firstLineChars="150"/>
        <w:jc w:val="both"/>
        <w:textAlignment w:val="center"/>
        <w:rPr>
          <w:rFonts w:ascii="仿宋_GB2312" w:hAnsi="宋体" w:eastAsia="仿宋_GB2312" w:cs="宋体"/>
          <w:sz w:val="32"/>
          <w:szCs w:val="32"/>
        </w:rPr>
      </w:pPr>
      <w:r>
        <w:rPr>
          <w:rFonts w:hint="eastAsia" w:ascii="仿宋_GB2312" w:hAnsi="宋体" w:eastAsia="仿宋_GB2312" w:cs="宋体"/>
          <w:color w:val="000000"/>
          <w:sz w:val="32"/>
          <w:szCs w:val="32"/>
        </w:rPr>
        <w:t>2020年一般公共预算收入</w:t>
      </w:r>
      <w:r>
        <w:rPr>
          <w:rFonts w:hint="eastAsia" w:ascii="仿宋_GB2312" w:eastAsia="仿宋_GB2312"/>
          <w:sz w:val="32"/>
          <w:szCs w:val="32"/>
        </w:rPr>
        <w:t>231.13万元，</w:t>
      </w:r>
      <w:r>
        <w:rPr>
          <w:rFonts w:hint="eastAsia" w:ascii="仿宋_GB2312" w:hAnsi="宋体" w:eastAsia="仿宋_GB2312" w:cs="宋体"/>
          <w:color w:val="000000"/>
          <w:sz w:val="32"/>
          <w:szCs w:val="32"/>
        </w:rPr>
        <w:t>财政拨款收入</w:t>
      </w:r>
      <w:r>
        <w:rPr>
          <w:rFonts w:hint="eastAsia" w:ascii="仿宋_GB2312" w:eastAsia="仿宋_GB2312"/>
          <w:sz w:val="32"/>
          <w:szCs w:val="32"/>
        </w:rPr>
        <w:t>231.13万元</w:t>
      </w:r>
      <w:r>
        <w:rPr>
          <w:rFonts w:hint="eastAsia" w:ascii="仿宋_GB2312" w:hAnsi="宋体" w:eastAsia="仿宋_GB2312" w:cs="宋体"/>
          <w:color w:val="000000"/>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jc w:val="both"/>
        <w:rPr>
          <w:rFonts w:ascii="仿宋_GB2312" w:eastAsia="仿宋_GB2312"/>
          <w:b/>
          <w:sz w:val="32"/>
          <w:szCs w:val="32"/>
        </w:rPr>
      </w:pPr>
      <w:r>
        <w:rPr>
          <w:rFonts w:hint="eastAsia" w:ascii="仿宋_GB2312" w:eastAsia="仿宋_GB2312"/>
          <w:b/>
          <w:sz w:val="32"/>
          <w:szCs w:val="32"/>
        </w:rPr>
        <w:t xml:space="preserve">    三、2020年度支出情况说明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ascii="仿宋_GB2312" w:eastAsia="仿宋_GB2312"/>
          <w:sz w:val="32"/>
          <w:szCs w:val="32"/>
          <w:highlight w:val="yellow"/>
        </w:rPr>
      </w:pPr>
      <w:r>
        <w:rPr>
          <w:rFonts w:hint="eastAsia" w:ascii="仿宋_GB2312" w:eastAsia="仿宋_GB2312"/>
          <w:sz w:val="32"/>
          <w:szCs w:val="32"/>
        </w:rPr>
        <w:t>察隅县市场监督管理局2020年度支出合计316.62万元，比上年度增加143.43万元，增长率82.82%。其中：基本支出147.75万元，占总支出的79.31%；项目支出168.87万元，占总支出的40.06%。按经济分类分，其中：工资福利支出126.84万元，占总支出的40.06%；商品和服务支出136.4万元，占总支出的43.08%；对个人和家庭的补助支出53.38元，占总支出的16.86%.。</w:t>
      </w:r>
    </w:p>
    <w:p>
      <w:pPr>
        <w:keepNext w:val="0"/>
        <w:keepLines w:val="0"/>
        <w:pageBreakBefore w:val="0"/>
        <w:widowControl/>
        <w:kinsoku/>
        <w:wordWrap/>
        <w:overflowPunct/>
        <w:topLinePunct w:val="0"/>
        <w:autoSpaceDE/>
        <w:autoSpaceDN/>
        <w:bidi w:val="0"/>
        <w:adjustRightInd w:val="0"/>
        <w:snapToGrid w:val="0"/>
        <w:spacing w:after="0" w:line="560" w:lineRule="exact"/>
        <w:ind w:firstLine="482" w:firstLineChars="150"/>
        <w:jc w:val="both"/>
        <w:rPr>
          <w:rFonts w:ascii="仿宋_GB2312" w:eastAsia="仿宋_GB2312"/>
          <w:b/>
          <w:sz w:val="32"/>
          <w:szCs w:val="32"/>
        </w:rPr>
      </w:pPr>
      <w:r>
        <w:rPr>
          <w:rFonts w:hint="eastAsia" w:ascii="仿宋_GB2312" w:eastAsia="仿宋_GB2312"/>
          <w:b/>
          <w:sz w:val="32"/>
          <w:szCs w:val="32"/>
        </w:rPr>
        <w:t>四、2020年度一般公共预算财政拨款收入支出总体情况说明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察隅县市场监督管理局2020年度一般公共预算财政拨款收入合计231.13万元，比上年度增加33.57万元，增长率16.99%；一般公共预算财政拨款支出合计316.62万元，比上年度增加14.43元，增长率82.82%。主要原因: 本年度本单位预算多，同时支出资金也较多，导致与去年有相差。</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rPr>
          <w:rFonts w:ascii="仿宋_GB2312" w:eastAsia="仿宋_GB2312"/>
          <w:b/>
          <w:sz w:val="32"/>
          <w:szCs w:val="32"/>
        </w:rPr>
      </w:pPr>
      <w:r>
        <w:rPr>
          <w:rFonts w:hint="eastAsia" w:ascii="仿宋_GB2312" w:eastAsia="仿宋_GB2312"/>
          <w:b/>
          <w:sz w:val="32"/>
          <w:szCs w:val="32"/>
        </w:rPr>
        <w:t>五、2020年度一般公共预算财政拨款支出情况说明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察隅县市场监督管理局2020年度一般公共预算财政拨款支出236.69万元</w:t>
      </w:r>
      <w:r>
        <w:rPr>
          <w:rFonts w:hint="eastAsia" w:ascii="仿宋_GB2312" w:eastAsia="仿宋_GB2312"/>
          <w:spacing w:val="-20"/>
          <w:sz w:val="32"/>
          <w:szCs w:val="32"/>
        </w:rPr>
        <w:t>，</w:t>
      </w:r>
      <w:r>
        <w:rPr>
          <w:rFonts w:hint="eastAsia" w:ascii="仿宋_GB2312" w:eastAsia="仿宋_GB2312"/>
          <w:sz w:val="32"/>
          <w:szCs w:val="32"/>
        </w:rPr>
        <w:t>其中一般公共服务支出211.99万元，占总支出的89.56%；住房保障24.7万元，占总支出的10.44%。</w:t>
      </w:r>
    </w:p>
    <w:p>
      <w:pPr>
        <w:keepNext w:val="0"/>
        <w:keepLines w:val="0"/>
        <w:pageBreakBefore w:val="0"/>
        <w:widowControl/>
        <w:kinsoku/>
        <w:wordWrap/>
        <w:overflowPunct/>
        <w:topLinePunct w:val="0"/>
        <w:autoSpaceDE/>
        <w:autoSpaceDN/>
        <w:bidi w:val="0"/>
        <w:adjustRightInd w:val="0"/>
        <w:snapToGrid w:val="0"/>
        <w:spacing w:after="0" w:line="560" w:lineRule="exact"/>
        <w:ind w:firstLine="482" w:firstLineChars="150"/>
        <w:jc w:val="both"/>
        <w:rPr>
          <w:rFonts w:hint="eastAsia" w:ascii="仿宋_GB2312" w:eastAsia="仿宋_GB2312"/>
          <w:sz w:val="32"/>
          <w:szCs w:val="32"/>
          <w:lang w:eastAsia="zh-CN"/>
        </w:rPr>
      </w:pPr>
      <w:r>
        <w:rPr>
          <w:rFonts w:hint="eastAsia" w:ascii="仿宋_GB2312" w:eastAsia="仿宋_GB2312"/>
          <w:b/>
          <w:sz w:val="32"/>
          <w:szCs w:val="32"/>
        </w:rPr>
        <w:t>一般公共服务支出（类）市场监督管理事务（项）</w:t>
      </w:r>
      <w:r>
        <w:rPr>
          <w:rFonts w:hint="eastAsia" w:ascii="仿宋_GB2312" w:eastAsia="仿宋_GB2312"/>
          <w:sz w:val="32"/>
          <w:szCs w:val="32"/>
        </w:rPr>
        <w:t>支出211.99万元，其中</w:t>
      </w:r>
      <w:r>
        <w:rPr>
          <w:rFonts w:hint="eastAsia" w:ascii="仿宋_GB2312" w:eastAsia="仿宋_GB2312"/>
          <w:sz w:val="32"/>
          <w:szCs w:val="32"/>
          <w:lang w:eastAsia="zh-CN"/>
        </w:rPr>
        <w:t>，</w:t>
      </w:r>
      <w:r>
        <w:rPr>
          <w:rFonts w:hint="eastAsia" w:ascii="仿宋_GB2312" w:eastAsia="仿宋_GB2312"/>
          <w:b/>
          <w:sz w:val="32"/>
          <w:szCs w:val="32"/>
        </w:rPr>
        <w:t>住房保障支出（类）</w:t>
      </w:r>
      <w:r>
        <w:rPr>
          <w:rFonts w:hint="eastAsia" w:ascii="仿宋_GB2312" w:eastAsia="仿宋_GB2312"/>
          <w:sz w:val="32"/>
          <w:szCs w:val="32"/>
        </w:rPr>
        <w:t>支出24.7万元</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住房公积金</w:t>
      </w:r>
      <w:r>
        <w:rPr>
          <w:rFonts w:hint="eastAsia" w:ascii="仿宋_GB2312" w:eastAsia="仿宋_GB2312"/>
          <w:sz w:val="32"/>
          <w:szCs w:val="32"/>
          <w:lang w:eastAsia="zh-CN"/>
        </w:rPr>
        <w:t>支出</w:t>
      </w:r>
      <w:r>
        <w:rPr>
          <w:rFonts w:hint="eastAsia" w:ascii="仿宋_GB2312" w:eastAsia="仿宋_GB2312"/>
          <w:sz w:val="32"/>
          <w:szCs w:val="32"/>
        </w:rPr>
        <w:t>16.17万元</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hint="eastAsia" w:ascii="仿宋_GB2312" w:eastAsia="仿宋_GB2312"/>
          <w:b/>
          <w:sz w:val="32"/>
          <w:szCs w:val="32"/>
          <w:lang w:eastAsia="zh-CN"/>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购房补贴</w:t>
      </w:r>
      <w:r>
        <w:rPr>
          <w:rFonts w:hint="eastAsia" w:ascii="仿宋_GB2312" w:eastAsia="仿宋_GB2312"/>
          <w:sz w:val="32"/>
          <w:szCs w:val="32"/>
          <w:lang w:eastAsia="zh-CN"/>
        </w:rPr>
        <w:t>支出</w:t>
      </w:r>
      <w:r>
        <w:rPr>
          <w:rFonts w:hint="eastAsia" w:ascii="仿宋_GB2312" w:eastAsia="仿宋_GB2312"/>
          <w:sz w:val="32"/>
          <w:szCs w:val="32"/>
        </w:rPr>
        <w:t>8.53万元</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rPr>
          <w:rFonts w:ascii="仿宋_GB2312" w:eastAsia="仿宋_GB2312"/>
          <w:b/>
          <w:sz w:val="32"/>
          <w:szCs w:val="32"/>
        </w:rPr>
      </w:pPr>
      <w:r>
        <w:rPr>
          <w:rFonts w:hint="eastAsia" w:ascii="仿宋_GB2312" w:eastAsia="仿宋_GB2312"/>
          <w:b/>
          <w:sz w:val="32"/>
          <w:szCs w:val="32"/>
        </w:rPr>
        <w:t>六、2020年度一般公共预算财政拨款基本支出情况说明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察隅县市场监督管理局2020年度一般公共预算财政拨款基本支出147.75万元。其中：</w:t>
      </w:r>
      <w:r>
        <w:rPr>
          <w:rFonts w:hint="eastAsia" w:ascii="仿宋_GB2312" w:eastAsia="仿宋_GB2312"/>
          <w:b/>
          <w:sz w:val="32"/>
          <w:szCs w:val="32"/>
        </w:rPr>
        <w:t>人员经费</w:t>
      </w:r>
      <w:r>
        <w:rPr>
          <w:rFonts w:hint="eastAsia" w:ascii="仿宋_GB2312" w:eastAsia="仿宋_GB2312"/>
          <w:sz w:val="32"/>
          <w:szCs w:val="32"/>
        </w:rPr>
        <w:t>支出129.61万元，占总支出的87.72%，主要包括基本工资、津贴补贴、奖金、其他社会保障缴费、其他工资福利支出、住房公积金、提租补贴、购房补贴、其他对个人和家庭的补助支出等。</w:t>
      </w:r>
      <w:r>
        <w:rPr>
          <w:rFonts w:hint="eastAsia" w:ascii="仿宋_GB2312" w:eastAsia="仿宋_GB2312"/>
          <w:b/>
          <w:sz w:val="32"/>
          <w:szCs w:val="32"/>
        </w:rPr>
        <w:t>日常公用经费</w:t>
      </w:r>
      <w:r>
        <w:rPr>
          <w:rFonts w:hint="eastAsia" w:ascii="仿宋_GB2312" w:eastAsia="仿宋_GB2312"/>
          <w:sz w:val="32"/>
          <w:szCs w:val="32"/>
        </w:rPr>
        <w:t>支出18.14万元，占总支出的12.28%。主要包括办公费、水费、电费、邮电费、取暖费、差旅费、维修费、培训费、公务接待费、专用材料费、福利费、公车运行维护费、其他交通费、其他商品和服务支出、办公设备购置、专用设备购置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rPr>
          <w:rFonts w:ascii="仿宋_GB2312" w:eastAsia="仿宋_GB2312"/>
          <w:b/>
          <w:sz w:val="32"/>
          <w:szCs w:val="32"/>
          <w:highlight w:val="yellow"/>
        </w:rPr>
      </w:pPr>
      <w:r>
        <w:rPr>
          <w:rFonts w:hint="eastAsia" w:ascii="仿宋_GB2312" w:eastAsia="仿宋_GB2312"/>
          <w:b/>
          <w:sz w:val="32"/>
          <w:szCs w:val="32"/>
        </w:rPr>
        <w:t>七、2020年度一般公共预算财政拨款“三公”经费支出情况说明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察隅县市场监督管理局2020年度“三公”经费决算数8.44万元。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。2020年度支出8.44万元，其中：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1.公务用车购置费。公务用车购置数为0，保有量为1辆，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2.公务用车运行费。2020年度支出8.44万元，</w:t>
      </w:r>
      <w:r>
        <w:rPr>
          <w:rFonts w:hint="eastAsia" w:ascii="仿宋_GB2312" w:eastAsia="仿宋_GB2312"/>
          <w:sz w:val="32"/>
          <w:szCs w:val="32"/>
        </w:rPr>
        <w:t>比上年度减少0.0055元，减少支出0.06%。</w:t>
      </w:r>
      <w:r>
        <w:rPr>
          <w:rFonts w:hint="eastAsia" w:ascii="仿宋_GB2312" w:eastAsia="仿宋_GB2312"/>
          <w:sz w:val="32"/>
          <w:szCs w:val="32"/>
          <w:lang w:eastAsia="zh-CN"/>
        </w:rPr>
        <w:t>主要原因为我单位严控“三公”经费一般性支出，减少不必要支出。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eastAsia="仿宋_GB2312"/>
          <w:sz w:val="32"/>
          <w:szCs w:val="32"/>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2020年度支出0万元，公务接待0批次，0人次。</w:t>
      </w:r>
      <w:r>
        <w:rPr>
          <w:rFonts w:hint="eastAsia" w:ascii="仿宋_GB2312" w:hAnsi="仿宋_GB2312" w:eastAsia="仿宋_GB2312" w:cs="仿宋_GB2312"/>
          <w:snapToGrid w:val="0"/>
          <w:w w:val="95"/>
          <w:sz w:val="32"/>
          <w:szCs w:val="32"/>
          <w:highlight w:val="none"/>
          <w:lang w:eastAsia="zh-CN"/>
        </w:rPr>
        <w:t>主要原因为我单位按照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rPr>
          <w:rFonts w:ascii="仿宋_GB2312" w:eastAsia="仿宋_GB2312"/>
          <w:b/>
          <w:sz w:val="32"/>
          <w:szCs w:val="32"/>
        </w:rPr>
      </w:pPr>
      <w:r>
        <w:rPr>
          <w:rFonts w:hint="eastAsia" w:ascii="仿宋_GB2312" w:eastAsia="仿宋_GB2312"/>
          <w:b/>
          <w:sz w:val="32"/>
          <w:szCs w:val="32"/>
        </w:rPr>
        <w:t>八、其他重要事项情况说明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both"/>
        <w:rPr>
          <w:rFonts w:hint="eastAsia" w:ascii="楷体_GB2312" w:hAnsi="楷体_GB2312" w:eastAsia="楷体_GB2312" w:cs="楷体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sz w:val="32"/>
          <w:szCs w:val="32"/>
        </w:rPr>
        <w:t xml:space="preserve"> （一）机关运行经费支出情况。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both"/>
        <w:rPr>
          <w:rFonts w:ascii="仿宋_GB2312" w:eastAsia="仿宋_GB2312"/>
          <w:sz w:val="32"/>
          <w:szCs w:val="32"/>
        </w:rPr>
      </w:pPr>
      <w:r>
        <w:rPr>
          <w:rFonts w:hint="eastAsia" w:ascii="仿宋_GB2312" w:eastAsia="仿宋_GB2312"/>
          <w:sz w:val="32"/>
          <w:szCs w:val="32"/>
        </w:rPr>
        <w:t>察隅县市场监督管理局2020年度机关运行经费18.14万元。</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640" w:leftChars="0" w:firstLine="0" w:firstLine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国有资产占有使用情况。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rPr>
          <w:rFonts w:ascii="仿宋_GB2312" w:hAnsi="仿宋_GB2312" w:eastAsia="仿宋_GB2312" w:cs="仿宋_GB2312"/>
          <w:sz w:val="32"/>
          <w:szCs w:val="32"/>
          <w:highlight w:val="yellow"/>
        </w:rPr>
      </w:pPr>
      <w:r>
        <w:rPr>
          <w:rFonts w:hint="eastAsia" w:ascii="仿宋_GB2312" w:eastAsia="仿宋_GB2312"/>
          <w:sz w:val="32"/>
          <w:szCs w:val="32"/>
        </w:rPr>
        <w:t>截止2020年年底，察隅县市场监督管理局共有车辆2辆。</w:t>
      </w:r>
      <w:r>
        <w:rPr>
          <w:rFonts w:hint="eastAsia" w:ascii="仿宋_GB2312" w:hAnsi="仿宋_GB2312" w:eastAsia="仿宋_GB2312" w:cs="仿宋_GB2312"/>
          <w:sz w:val="32"/>
          <w:szCs w:val="32"/>
        </w:rPr>
        <w:t>固定资产总额111万元。其中：房屋类固定资产0元，占资产总额的0%；车辆类固定资产</w:t>
      </w:r>
      <w:r>
        <w:rPr>
          <w:rFonts w:ascii="仿宋_GB2312" w:hAnsi="仿宋_GB2312" w:eastAsia="仿宋_GB2312" w:cs="仿宋_GB2312"/>
          <w:sz w:val="32"/>
          <w:szCs w:val="32"/>
        </w:rPr>
        <w:t>1,11</w:t>
      </w:r>
      <w:r>
        <w:rPr>
          <w:rFonts w:hint="eastAsia" w:ascii="仿宋_GB2312" w:hAnsi="仿宋_GB2312" w:eastAsia="仿宋_GB2312" w:cs="仿宋_GB2312"/>
          <w:sz w:val="32"/>
          <w:szCs w:val="32"/>
        </w:rPr>
        <w:t>万元，占资产总额100%；其他固定资产0万元，占资产总额的0%。</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640" w:leftChars="0" w:firstLine="0" w:firstLine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政府采购情况。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32"/>
        </w:rPr>
        <w:t>察隅县市场监督管理局</w:t>
      </w:r>
      <w:r>
        <w:rPr>
          <w:rFonts w:hint="eastAsia" w:ascii="仿宋_GB2312" w:hAnsi="仿宋_GB2312" w:eastAsia="仿宋_GB2312" w:cs="仿宋_GB2312"/>
          <w:sz w:val="32"/>
          <w:szCs w:val="32"/>
        </w:rPr>
        <w:t>2020年度采购支出0元。</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640" w:leftChars="0" w:firstLine="0" w:firstLine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预算绩效情况。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2020年度本单位无绩效评价项目。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482" w:firstLineChars="150"/>
        <w:jc w:val="both"/>
        <w:rPr>
          <w:rFonts w:ascii="仿宋_GB2312" w:eastAsia="仿宋_GB2312"/>
          <w:b/>
          <w:sz w:val="32"/>
          <w:szCs w:val="32"/>
        </w:rPr>
      </w:pPr>
      <w:r>
        <w:rPr>
          <w:rFonts w:hint="eastAsia" w:ascii="仿宋_GB2312" w:eastAsia="仿宋_GB2312"/>
          <w:b/>
          <w:sz w:val="32"/>
          <w:szCs w:val="32"/>
        </w:rPr>
        <w:t>九、重点、重大项目信息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2020年察隅县市场监督管理局无重大项目</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jc w:val="both"/>
        <w:rPr>
          <w:rFonts w:ascii="黑体" w:hAnsi="黑体" w:eastAsia="黑体"/>
          <w:b/>
          <w:snapToGrid w:val="0"/>
          <w:w w:val="95"/>
          <w:sz w:val="44"/>
          <w:szCs w:val="44"/>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firstLineChars="196"/>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firstLineChars="196"/>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firstLineChars="196"/>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firstLineChars="196"/>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val="0"/>
        <w:snapToGrid w:val="0"/>
        <w:spacing w:after="0" w:line="560" w:lineRule="exact"/>
        <w:ind w:firstLine="1680" w:firstLineChars="200"/>
        <w:jc w:val="both"/>
        <w:rPr>
          <w:sz w:val="84"/>
          <w:szCs w:val="84"/>
        </w:rPr>
      </w:pPr>
    </w:p>
    <w:sectPr>
      <w:pgSz w:w="11906" w:h="16838"/>
      <w:pgMar w:top="1440" w:right="1800" w:bottom="1440" w:left="180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w:pict>
        <v:shape id="_x0000_s3077" o:spid="_x0000_s3077"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44AF3"/>
    <w:multiLevelType w:val="singleLevel"/>
    <w:tmpl w:val="A2644AF3"/>
    <w:lvl w:ilvl="0" w:tentative="0">
      <w:start w:val="2"/>
      <w:numFmt w:val="chineseCounting"/>
      <w:suff w:val="nothing"/>
      <w:lvlText w:val="（%1）"/>
      <w:lvlJc w:val="left"/>
      <w:pPr>
        <w:ind w:left="640" w:leftChars="0" w:firstLine="0" w:firstLineChars="0"/>
      </w:pPr>
      <w:rPr>
        <w:rFonts w:hint="eastAsia"/>
      </w:rPr>
    </w:lvl>
  </w:abstractNum>
  <w:abstractNum w:abstractNumId="1">
    <w:nsid w:val="090FD83F"/>
    <w:multiLevelType w:val="singleLevel"/>
    <w:tmpl w:val="090FD83F"/>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5FCD"/>
    <w:rsid w:val="000068A0"/>
    <w:rsid w:val="00011A06"/>
    <w:rsid w:val="000131C8"/>
    <w:rsid w:val="000205B6"/>
    <w:rsid w:val="00042062"/>
    <w:rsid w:val="00043B76"/>
    <w:rsid w:val="00065AC2"/>
    <w:rsid w:val="00070AF0"/>
    <w:rsid w:val="00085D28"/>
    <w:rsid w:val="00094F3E"/>
    <w:rsid w:val="000B08E5"/>
    <w:rsid w:val="000B3926"/>
    <w:rsid w:val="000B3BB4"/>
    <w:rsid w:val="000C4FC1"/>
    <w:rsid w:val="000E24EC"/>
    <w:rsid w:val="00121B3A"/>
    <w:rsid w:val="00135D9C"/>
    <w:rsid w:val="00137758"/>
    <w:rsid w:val="001468A9"/>
    <w:rsid w:val="00156595"/>
    <w:rsid w:val="00170AE9"/>
    <w:rsid w:val="00173300"/>
    <w:rsid w:val="001834FB"/>
    <w:rsid w:val="0019029C"/>
    <w:rsid w:val="00194943"/>
    <w:rsid w:val="001979F8"/>
    <w:rsid w:val="001A307D"/>
    <w:rsid w:val="001A70AC"/>
    <w:rsid w:val="001A75E6"/>
    <w:rsid w:val="001B3308"/>
    <w:rsid w:val="001B7DD1"/>
    <w:rsid w:val="001C6C33"/>
    <w:rsid w:val="001D2123"/>
    <w:rsid w:val="001D3C35"/>
    <w:rsid w:val="001D44FF"/>
    <w:rsid w:val="001E1206"/>
    <w:rsid w:val="001E2455"/>
    <w:rsid w:val="001E5C57"/>
    <w:rsid w:val="001F1F4A"/>
    <w:rsid w:val="001F5920"/>
    <w:rsid w:val="00205D5A"/>
    <w:rsid w:val="002110B1"/>
    <w:rsid w:val="00217E49"/>
    <w:rsid w:val="00221544"/>
    <w:rsid w:val="00221B1B"/>
    <w:rsid w:val="0022410F"/>
    <w:rsid w:val="00230DD0"/>
    <w:rsid w:val="00232036"/>
    <w:rsid w:val="0025255C"/>
    <w:rsid w:val="00260C64"/>
    <w:rsid w:val="002610A2"/>
    <w:rsid w:val="00265B6C"/>
    <w:rsid w:val="002D2DC7"/>
    <w:rsid w:val="002E1A51"/>
    <w:rsid w:val="002F4101"/>
    <w:rsid w:val="00306918"/>
    <w:rsid w:val="00323520"/>
    <w:rsid w:val="00323B43"/>
    <w:rsid w:val="00342949"/>
    <w:rsid w:val="003431FF"/>
    <w:rsid w:val="00344FF8"/>
    <w:rsid w:val="0035194F"/>
    <w:rsid w:val="00352A47"/>
    <w:rsid w:val="003601CD"/>
    <w:rsid w:val="00360767"/>
    <w:rsid w:val="00360D71"/>
    <w:rsid w:val="0037722F"/>
    <w:rsid w:val="0038379C"/>
    <w:rsid w:val="00393594"/>
    <w:rsid w:val="00395909"/>
    <w:rsid w:val="003B5AE7"/>
    <w:rsid w:val="003D37D8"/>
    <w:rsid w:val="003D3D01"/>
    <w:rsid w:val="003D422F"/>
    <w:rsid w:val="003F6290"/>
    <w:rsid w:val="003F6AD7"/>
    <w:rsid w:val="004058CC"/>
    <w:rsid w:val="00406C8C"/>
    <w:rsid w:val="004237CC"/>
    <w:rsid w:val="00424AF9"/>
    <w:rsid w:val="00426133"/>
    <w:rsid w:val="0042770D"/>
    <w:rsid w:val="00432BA4"/>
    <w:rsid w:val="004358AB"/>
    <w:rsid w:val="00460611"/>
    <w:rsid w:val="0046244B"/>
    <w:rsid w:val="004718EB"/>
    <w:rsid w:val="00487080"/>
    <w:rsid w:val="0049496C"/>
    <w:rsid w:val="0049525C"/>
    <w:rsid w:val="00495593"/>
    <w:rsid w:val="00495932"/>
    <w:rsid w:val="004A2C77"/>
    <w:rsid w:val="004C35E0"/>
    <w:rsid w:val="004C3E48"/>
    <w:rsid w:val="004D4D28"/>
    <w:rsid w:val="004D69F7"/>
    <w:rsid w:val="00504015"/>
    <w:rsid w:val="00530EE9"/>
    <w:rsid w:val="005376DC"/>
    <w:rsid w:val="00582C6C"/>
    <w:rsid w:val="00587AC9"/>
    <w:rsid w:val="00590A3C"/>
    <w:rsid w:val="00596433"/>
    <w:rsid w:val="005B4BD7"/>
    <w:rsid w:val="005C16E1"/>
    <w:rsid w:val="005C1BB8"/>
    <w:rsid w:val="005D69C8"/>
    <w:rsid w:val="005E5665"/>
    <w:rsid w:val="00602D79"/>
    <w:rsid w:val="00616C25"/>
    <w:rsid w:val="00622E39"/>
    <w:rsid w:val="0062627F"/>
    <w:rsid w:val="0064310A"/>
    <w:rsid w:val="0064767A"/>
    <w:rsid w:val="00652C2E"/>
    <w:rsid w:val="0065762C"/>
    <w:rsid w:val="006761A8"/>
    <w:rsid w:val="006836BE"/>
    <w:rsid w:val="00685CE5"/>
    <w:rsid w:val="006B5F1C"/>
    <w:rsid w:val="006D1614"/>
    <w:rsid w:val="006E49C0"/>
    <w:rsid w:val="006E5FD3"/>
    <w:rsid w:val="0070063A"/>
    <w:rsid w:val="00710F52"/>
    <w:rsid w:val="00722D1F"/>
    <w:rsid w:val="007400C8"/>
    <w:rsid w:val="007442FD"/>
    <w:rsid w:val="00761050"/>
    <w:rsid w:val="00761184"/>
    <w:rsid w:val="00770503"/>
    <w:rsid w:val="007817A7"/>
    <w:rsid w:val="007848AB"/>
    <w:rsid w:val="0079768E"/>
    <w:rsid w:val="007A581C"/>
    <w:rsid w:val="007B13B1"/>
    <w:rsid w:val="007B4AD2"/>
    <w:rsid w:val="007C04D8"/>
    <w:rsid w:val="007C2F9D"/>
    <w:rsid w:val="007F3C88"/>
    <w:rsid w:val="007F7307"/>
    <w:rsid w:val="008000EE"/>
    <w:rsid w:val="00810D54"/>
    <w:rsid w:val="00816270"/>
    <w:rsid w:val="00852050"/>
    <w:rsid w:val="008535C4"/>
    <w:rsid w:val="0088342B"/>
    <w:rsid w:val="008A3245"/>
    <w:rsid w:val="008A4248"/>
    <w:rsid w:val="008A4728"/>
    <w:rsid w:val="008B7726"/>
    <w:rsid w:val="008C3449"/>
    <w:rsid w:val="008C7ECD"/>
    <w:rsid w:val="008D1D05"/>
    <w:rsid w:val="008D7C2A"/>
    <w:rsid w:val="008E37ED"/>
    <w:rsid w:val="008E3CC9"/>
    <w:rsid w:val="009309D0"/>
    <w:rsid w:val="00944F62"/>
    <w:rsid w:val="00970AEA"/>
    <w:rsid w:val="009772C3"/>
    <w:rsid w:val="009B58F6"/>
    <w:rsid w:val="009C1E95"/>
    <w:rsid w:val="009C6559"/>
    <w:rsid w:val="009D2FE1"/>
    <w:rsid w:val="009D379B"/>
    <w:rsid w:val="009D4D24"/>
    <w:rsid w:val="009E2D20"/>
    <w:rsid w:val="009F2FE7"/>
    <w:rsid w:val="00A0343F"/>
    <w:rsid w:val="00A06BD4"/>
    <w:rsid w:val="00A201BF"/>
    <w:rsid w:val="00A25DF5"/>
    <w:rsid w:val="00A27412"/>
    <w:rsid w:val="00A30D00"/>
    <w:rsid w:val="00A31E6A"/>
    <w:rsid w:val="00A34078"/>
    <w:rsid w:val="00A42723"/>
    <w:rsid w:val="00A53E73"/>
    <w:rsid w:val="00A56CED"/>
    <w:rsid w:val="00A65508"/>
    <w:rsid w:val="00A729A7"/>
    <w:rsid w:val="00A72B23"/>
    <w:rsid w:val="00A80816"/>
    <w:rsid w:val="00A953D2"/>
    <w:rsid w:val="00AC23D3"/>
    <w:rsid w:val="00AD10B3"/>
    <w:rsid w:val="00AF6454"/>
    <w:rsid w:val="00AF6962"/>
    <w:rsid w:val="00B112F5"/>
    <w:rsid w:val="00B442C4"/>
    <w:rsid w:val="00B54235"/>
    <w:rsid w:val="00B63635"/>
    <w:rsid w:val="00B75BFC"/>
    <w:rsid w:val="00B95D6E"/>
    <w:rsid w:val="00B96172"/>
    <w:rsid w:val="00BA7DC2"/>
    <w:rsid w:val="00BF0EB4"/>
    <w:rsid w:val="00BF1BD3"/>
    <w:rsid w:val="00C03485"/>
    <w:rsid w:val="00C07A7E"/>
    <w:rsid w:val="00C11F5B"/>
    <w:rsid w:val="00C12B0D"/>
    <w:rsid w:val="00C13A1F"/>
    <w:rsid w:val="00C25C61"/>
    <w:rsid w:val="00C410A0"/>
    <w:rsid w:val="00C42481"/>
    <w:rsid w:val="00C448C2"/>
    <w:rsid w:val="00C510EA"/>
    <w:rsid w:val="00C5220F"/>
    <w:rsid w:val="00C577FA"/>
    <w:rsid w:val="00C60E48"/>
    <w:rsid w:val="00C66C8F"/>
    <w:rsid w:val="00C70CB5"/>
    <w:rsid w:val="00C81D31"/>
    <w:rsid w:val="00C91B79"/>
    <w:rsid w:val="00C9253E"/>
    <w:rsid w:val="00CC10CA"/>
    <w:rsid w:val="00CD3051"/>
    <w:rsid w:val="00CD4497"/>
    <w:rsid w:val="00CD62BB"/>
    <w:rsid w:val="00CD6A15"/>
    <w:rsid w:val="00CE31FA"/>
    <w:rsid w:val="00CF7606"/>
    <w:rsid w:val="00D14C29"/>
    <w:rsid w:val="00D14D52"/>
    <w:rsid w:val="00D21895"/>
    <w:rsid w:val="00D25832"/>
    <w:rsid w:val="00D31D50"/>
    <w:rsid w:val="00D34960"/>
    <w:rsid w:val="00D464FE"/>
    <w:rsid w:val="00D64655"/>
    <w:rsid w:val="00D741E1"/>
    <w:rsid w:val="00D82191"/>
    <w:rsid w:val="00D82D38"/>
    <w:rsid w:val="00D97B5D"/>
    <w:rsid w:val="00D97CB3"/>
    <w:rsid w:val="00DA7B43"/>
    <w:rsid w:val="00DA7F4C"/>
    <w:rsid w:val="00DB4D5A"/>
    <w:rsid w:val="00DD2A18"/>
    <w:rsid w:val="00DF16A9"/>
    <w:rsid w:val="00DF1715"/>
    <w:rsid w:val="00DF43DA"/>
    <w:rsid w:val="00DF5E09"/>
    <w:rsid w:val="00E0533C"/>
    <w:rsid w:val="00E17B33"/>
    <w:rsid w:val="00E44940"/>
    <w:rsid w:val="00E51CE0"/>
    <w:rsid w:val="00E57825"/>
    <w:rsid w:val="00E704A9"/>
    <w:rsid w:val="00E83A7C"/>
    <w:rsid w:val="00E92477"/>
    <w:rsid w:val="00E93D3B"/>
    <w:rsid w:val="00EA1231"/>
    <w:rsid w:val="00EA6CAC"/>
    <w:rsid w:val="00EB06C8"/>
    <w:rsid w:val="00EB2EEC"/>
    <w:rsid w:val="00EB6AAB"/>
    <w:rsid w:val="00EC1748"/>
    <w:rsid w:val="00EC3073"/>
    <w:rsid w:val="00EC5683"/>
    <w:rsid w:val="00EC5812"/>
    <w:rsid w:val="00EE05F3"/>
    <w:rsid w:val="00EF5F7C"/>
    <w:rsid w:val="00F02A59"/>
    <w:rsid w:val="00F02B3F"/>
    <w:rsid w:val="00F03CD2"/>
    <w:rsid w:val="00F146F5"/>
    <w:rsid w:val="00F31A7F"/>
    <w:rsid w:val="00F356D4"/>
    <w:rsid w:val="00F56622"/>
    <w:rsid w:val="00F56AC7"/>
    <w:rsid w:val="00F57CAD"/>
    <w:rsid w:val="00F607D9"/>
    <w:rsid w:val="00F612AE"/>
    <w:rsid w:val="00F64F58"/>
    <w:rsid w:val="00FB5257"/>
    <w:rsid w:val="00FC1081"/>
    <w:rsid w:val="00FC5BEC"/>
    <w:rsid w:val="00FF5D20"/>
    <w:rsid w:val="00FF60EC"/>
    <w:rsid w:val="06E856E9"/>
    <w:rsid w:val="0B4F7F55"/>
    <w:rsid w:val="0E552FBF"/>
    <w:rsid w:val="0E6444E1"/>
    <w:rsid w:val="15FF0746"/>
    <w:rsid w:val="1652404A"/>
    <w:rsid w:val="16727473"/>
    <w:rsid w:val="18453517"/>
    <w:rsid w:val="1C27350E"/>
    <w:rsid w:val="1EFA165A"/>
    <w:rsid w:val="22627008"/>
    <w:rsid w:val="22EB656C"/>
    <w:rsid w:val="22F17435"/>
    <w:rsid w:val="24186A6D"/>
    <w:rsid w:val="24D704B0"/>
    <w:rsid w:val="25075A0F"/>
    <w:rsid w:val="25794684"/>
    <w:rsid w:val="26D83C66"/>
    <w:rsid w:val="273315C7"/>
    <w:rsid w:val="2923348F"/>
    <w:rsid w:val="29B31708"/>
    <w:rsid w:val="2D985740"/>
    <w:rsid w:val="311432D0"/>
    <w:rsid w:val="316E34C4"/>
    <w:rsid w:val="3223652C"/>
    <w:rsid w:val="34557741"/>
    <w:rsid w:val="34D42416"/>
    <w:rsid w:val="356B28DD"/>
    <w:rsid w:val="359E2608"/>
    <w:rsid w:val="36D15B8A"/>
    <w:rsid w:val="389020C0"/>
    <w:rsid w:val="39CF250C"/>
    <w:rsid w:val="3A585E90"/>
    <w:rsid w:val="3A712FAA"/>
    <w:rsid w:val="3A805FAF"/>
    <w:rsid w:val="3BE121FF"/>
    <w:rsid w:val="3C8E5881"/>
    <w:rsid w:val="3E560565"/>
    <w:rsid w:val="3EE13C5F"/>
    <w:rsid w:val="418D44A9"/>
    <w:rsid w:val="43BD6256"/>
    <w:rsid w:val="458D1A72"/>
    <w:rsid w:val="4771411E"/>
    <w:rsid w:val="4900384D"/>
    <w:rsid w:val="499726FC"/>
    <w:rsid w:val="49EB3EF6"/>
    <w:rsid w:val="4E3B029B"/>
    <w:rsid w:val="4F1374CD"/>
    <w:rsid w:val="513F60E6"/>
    <w:rsid w:val="51F23228"/>
    <w:rsid w:val="534618A8"/>
    <w:rsid w:val="54C85958"/>
    <w:rsid w:val="55857316"/>
    <w:rsid w:val="568A74FE"/>
    <w:rsid w:val="57925E49"/>
    <w:rsid w:val="57B103A8"/>
    <w:rsid w:val="59B27432"/>
    <w:rsid w:val="5D416569"/>
    <w:rsid w:val="5D8B2AC0"/>
    <w:rsid w:val="60D67C10"/>
    <w:rsid w:val="62421E58"/>
    <w:rsid w:val="68B131D6"/>
    <w:rsid w:val="69AE127A"/>
    <w:rsid w:val="69CB0570"/>
    <w:rsid w:val="6B737AB1"/>
    <w:rsid w:val="6D83007B"/>
    <w:rsid w:val="6DC419BE"/>
    <w:rsid w:val="7501777E"/>
    <w:rsid w:val="783C78DB"/>
    <w:rsid w:val="78432EB8"/>
    <w:rsid w:val="792D5694"/>
    <w:rsid w:val="7A7416CA"/>
    <w:rsid w:val="7A804D74"/>
    <w:rsid w:val="7AC0739D"/>
    <w:rsid w:val="7B897B3A"/>
    <w:rsid w:val="7FAD2D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2">
    <w:name w:val="正文首行缩进 21"/>
    <w:basedOn w:val="13"/>
    <w:qFormat/>
    <w:uiPriority w:val="0"/>
    <w:pPr>
      <w:spacing w:after="120"/>
      <w:ind w:firstLine="420" w:firstLineChars="200"/>
    </w:pPr>
    <w:rPr>
      <w:szCs w:val="21"/>
    </w:rPr>
  </w:style>
  <w:style w:type="paragraph" w:customStyle="1" w:styleId="13">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6" textRotate="1"/>
    <customShpInfo spid="_x0000_s3077"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77927E-5177-4A34-8B79-3670D98E1BF8}">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521</Words>
  <Characters>2970</Characters>
  <Lines>24</Lines>
  <Paragraphs>6</Paragraphs>
  <TotalTime>4</TotalTime>
  <ScaleCrop>false</ScaleCrop>
  <LinksUpToDate>false</LinksUpToDate>
  <CharactersWithSpaces>3485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总预算</dc:creator>
  <cp:lastModifiedBy>Administrator</cp:lastModifiedBy>
  <cp:lastPrinted>2019-03-11T03:31:00Z</cp:lastPrinted>
  <dcterms:modified xsi:type="dcterms:W3CDTF">2022-09-05T04:33:07Z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